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105D4">
      <w:pPr>
        <w:spacing w:line="360" w:lineRule="auto"/>
        <w:jc w:val="center"/>
        <w:rPr>
          <w:b/>
          <w:color w:val="auto"/>
          <w:sz w:val="36"/>
          <w:szCs w:val="36"/>
          <w:highlight w:val="none"/>
        </w:rPr>
      </w:pPr>
      <w:r>
        <w:rPr>
          <w:b/>
          <w:color w:val="auto"/>
          <w:sz w:val="36"/>
          <w:szCs w:val="36"/>
          <w:highlight w:val="none"/>
        </w:rPr>
        <w:drawing>
          <wp:inline distT="0" distB="0" distL="114300" distR="114300">
            <wp:extent cx="905510" cy="1656715"/>
            <wp:effectExtent l="0" t="0" r="8890" b="4445"/>
            <wp:docPr id="2" name="图片 2" descr="旗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旗帜"/>
                    <pic:cNvPicPr>
                      <a:picLocks noChangeAspect="1"/>
                    </pic:cNvPicPr>
                  </pic:nvPicPr>
                  <pic:blipFill>
                    <a:blip r:embed="rId12"/>
                    <a:stretch>
                      <a:fillRect/>
                    </a:stretch>
                  </pic:blipFill>
                  <pic:spPr>
                    <a:xfrm>
                      <a:off x="0" y="0"/>
                      <a:ext cx="905510" cy="1656715"/>
                    </a:xfrm>
                    <a:prstGeom prst="rect">
                      <a:avLst/>
                    </a:prstGeom>
                    <a:noFill/>
                    <a:ln>
                      <a:noFill/>
                    </a:ln>
                  </pic:spPr>
                </pic:pic>
              </a:graphicData>
            </a:graphic>
          </wp:inline>
        </w:drawing>
      </w:r>
    </w:p>
    <w:p w14:paraId="53CB3281">
      <w:pPr>
        <w:spacing w:line="480" w:lineRule="exact"/>
        <w:jc w:val="center"/>
        <w:rPr>
          <w:rFonts w:ascii="宋体" w:hAnsi="宋体"/>
          <w:b/>
          <w:bCs/>
          <w:color w:val="auto"/>
          <w:sz w:val="48"/>
          <w:szCs w:val="48"/>
          <w:highlight w:val="none"/>
        </w:rPr>
      </w:pPr>
      <w:r>
        <w:rPr>
          <w:rFonts w:hint="eastAsia" w:ascii="宋体" w:hAnsi="宋体"/>
          <w:b/>
          <w:bCs/>
          <w:color w:val="auto"/>
          <w:sz w:val="48"/>
          <w:szCs w:val="48"/>
          <w:highlight w:val="none"/>
        </w:rPr>
        <w:t>广西建标建设工程咨询有限责任公司</w:t>
      </w:r>
    </w:p>
    <w:p w14:paraId="592D766D">
      <w:pPr>
        <w:spacing w:before="156" w:beforeLines="50"/>
        <w:jc w:val="center"/>
        <w:rPr>
          <w:b/>
          <w:color w:val="auto"/>
          <w:sz w:val="36"/>
          <w:szCs w:val="36"/>
          <w:highlight w:val="none"/>
        </w:rPr>
      </w:pPr>
    </w:p>
    <w:p w14:paraId="3F408A4E">
      <w:pPr>
        <w:spacing w:line="360" w:lineRule="auto"/>
        <w:jc w:val="center"/>
        <w:rPr>
          <w:rFonts w:ascii="宋体" w:hAnsi="宋体"/>
          <w:b/>
          <w:color w:val="auto"/>
          <w:sz w:val="36"/>
          <w:szCs w:val="36"/>
          <w:highlight w:val="none"/>
        </w:rPr>
      </w:pPr>
      <w:r>
        <w:rPr>
          <w:rFonts w:ascii="宋体" w:hAnsi="宋体"/>
          <w:color w:val="auto"/>
          <w:sz w:val="32"/>
          <w:szCs w:val="32"/>
          <w:highlight w:val="none"/>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60960</wp:posOffset>
                </wp:positionV>
                <wp:extent cx="6204585" cy="8255"/>
                <wp:effectExtent l="0" t="13970" r="13335" b="23495"/>
                <wp:wrapNone/>
                <wp:docPr id="1" name="直线 5"/>
                <wp:cNvGraphicFramePr/>
                <a:graphic xmlns:a="http://schemas.openxmlformats.org/drawingml/2006/main">
                  <a:graphicData uri="http://schemas.microsoft.com/office/word/2010/wordprocessingShape">
                    <wps:wsp>
                      <wps:cNvCnPr/>
                      <wps:spPr>
                        <a:xfrm flipV="1">
                          <a:off x="0" y="0"/>
                          <a:ext cx="6204585" cy="8255"/>
                        </a:xfrm>
                        <a:prstGeom prst="line">
                          <a:avLst/>
                        </a:prstGeom>
                        <a:ln w="2857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flip:y;margin-left:-3pt;margin-top:4.8pt;height:0.65pt;width:488.55pt;z-index:251660288;mso-width-relative:page;mso-height-relative:page;" filled="f" stroked="t" coordsize="21600,21600" o:gfxdata="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H25yDdUA&#10;AAAHAQAADwAAAAAAAAABACAAAAAiAAAAZHJzL2Rvd25yZXYueG1sUEsBAhQAFAAAAAgAh07iQLWN&#10;KbvpAQAA3QMAAA4AAAAAAAAAAQAgAAAAJAEAAGRycy9lMm9Eb2MueG1sUEsFBgAAAAAGAAYAWQEA&#10;AH8FAAAAAA==&#10;">
                <v:fill on="f" focussize="0,0"/>
                <v:stroke weight="2.25pt" color="#000000" joinstyle="round"/>
                <v:imagedata o:title=""/>
                <o:lock v:ext="edit" aspectratio="f"/>
              </v:line>
            </w:pict>
          </mc:Fallback>
        </mc:AlternateContent>
      </w:r>
    </w:p>
    <w:p w14:paraId="04D773DF">
      <w:pPr>
        <w:spacing w:line="360" w:lineRule="auto"/>
        <w:jc w:val="center"/>
        <w:rPr>
          <w:rFonts w:ascii="宋体" w:hAnsi="宋体"/>
          <w:b/>
          <w:color w:val="auto"/>
          <w:sz w:val="90"/>
          <w:szCs w:val="90"/>
          <w:highlight w:val="none"/>
        </w:rPr>
      </w:pPr>
    </w:p>
    <w:p w14:paraId="55658B5D">
      <w:pPr>
        <w:spacing w:line="360" w:lineRule="auto"/>
        <w:jc w:val="center"/>
        <w:rPr>
          <w:rFonts w:ascii="宋体" w:hAnsi="宋体"/>
          <w:b/>
          <w:color w:val="auto"/>
          <w:sz w:val="90"/>
          <w:szCs w:val="90"/>
          <w:highlight w:val="none"/>
        </w:rPr>
      </w:pPr>
      <w:r>
        <w:rPr>
          <w:rFonts w:ascii="宋体" w:hAnsi="宋体"/>
          <w:b/>
          <w:color w:val="auto"/>
          <w:sz w:val="90"/>
          <w:szCs w:val="90"/>
          <w:highlight w:val="none"/>
        </w:rPr>
        <w:t>竞争性磋商采购文件</w:t>
      </w:r>
    </w:p>
    <w:p w14:paraId="4805BF23">
      <w:pPr>
        <w:jc w:val="center"/>
        <w:rPr>
          <w:rFonts w:ascii="宋体" w:hAnsi="宋体"/>
          <w:b/>
          <w:color w:val="auto"/>
          <w:sz w:val="36"/>
          <w:szCs w:val="36"/>
          <w:highlight w:val="none"/>
        </w:rPr>
      </w:pPr>
    </w:p>
    <w:p w14:paraId="7DCF8BDD">
      <w:pPr>
        <w:spacing w:line="520" w:lineRule="exact"/>
        <w:jc w:val="center"/>
        <w:rPr>
          <w:rFonts w:ascii="宋体" w:hAnsi="宋体"/>
          <w:b/>
          <w:color w:val="auto"/>
          <w:sz w:val="32"/>
          <w:szCs w:val="32"/>
          <w:highlight w:val="none"/>
        </w:rPr>
      </w:pPr>
      <w:r>
        <w:rPr>
          <w:rFonts w:hint="eastAsia" w:ascii="宋体" w:hAnsi="宋体"/>
          <w:b/>
          <w:color w:val="auto"/>
          <w:sz w:val="36"/>
          <w:szCs w:val="36"/>
          <w:highlight w:val="none"/>
        </w:rPr>
        <w:t>(服务类)</w:t>
      </w:r>
    </w:p>
    <w:p w14:paraId="6292FD6E">
      <w:pPr>
        <w:jc w:val="center"/>
        <w:rPr>
          <w:rFonts w:ascii="宋体" w:hAnsi="宋体"/>
          <w:color w:val="auto"/>
          <w:sz w:val="72"/>
          <w:szCs w:val="72"/>
          <w:highlight w:val="none"/>
        </w:rPr>
      </w:pPr>
    </w:p>
    <w:p w14:paraId="2B398542">
      <w:pPr>
        <w:jc w:val="center"/>
        <w:rPr>
          <w:rFonts w:ascii="宋体" w:hAnsi="宋体"/>
          <w:color w:val="auto"/>
          <w:sz w:val="72"/>
          <w:szCs w:val="72"/>
          <w:highlight w:val="none"/>
        </w:rPr>
      </w:pPr>
    </w:p>
    <w:p w14:paraId="43BD82D5">
      <w:pPr>
        <w:jc w:val="center"/>
        <w:rPr>
          <w:rFonts w:ascii="宋体" w:hAnsi="宋体"/>
          <w:color w:val="auto"/>
          <w:sz w:val="72"/>
          <w:szCs w:val="72"/>
          <w:highlight w:val="none"/>
        </w:rPr>
      </w:pPr>
    </w:p>
    <w:p w14:paraId="4C0C5847">
      <w:pPr>
        <w:jc w:val="center"/>
        <w:rPr>
          <w:rFonts w:ascii="宋体" w:hAnsi="宋体"/>
          <w:color w:val="auto"/>
          <w:sz w:val="72"/>
          <w:szCs w:val="72"/>
          <w:highlight w:val="none"/>
        </w:rPr>
      </w:pPr>
    </w:p>
    <w:p w14:paraId="5B0B9EEF">
      <w:pPr>
        <w:keepNext w:val="0"/>
        <w:keepLines w:val="0"/>
        <w:pageBreakBefore w:val="0"/>
        <w:widowControl/>
        <w:tabs>
          <w:tab w:val="left" w:pos="993"/>
        </w:tabs>
        <w:kinsoku/>
        <w:wordWrap/>
        <w:overflowPunct/>
        <w:topLinePunct w:val="0"/>
        <w:autoSpaceDE/>
        <w:autoSpaceDN/>
        <w:bidi w:val="0"/>
        <w:adjustRightInd/>
        <w:snapToGrid/>
        <w:spacing w:line="360" w:lineRule="auto"/>
        <w:ind w:left="2344" w:leftChars="402" w:hanging="1500" w:hangingChars="50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项目名称：</w:t>
      </w:r>
      <w:r>
        <w:rPr>
          <w:rFonts w:hint="eastAsia" w:ascii="宋体" w:hAnsi="宋体"/>
          <w:b/>
          <w:color w:val="auto"/>
          <w:sz w:val="30"/>
          <w:szCs w:val="30"/>
          <w:highlight w:val="none"/>
          <w:lang w:eastAsia="zh-CN"/>
        </w:rPr>
        <w:t>基于超短波监测管理一体化平台的基础平台符合性测试和互联互通测试服务</w:t>
      </w:r>
    </w:p>
    <w:p w14:paraId="46F8EB47">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hint="eastAsia" w:ascii="宋体" w:hAnsi="宋体" w:eastAsia="宋体"/>
          <w:b/>
          <w:color w:val="auto"/>
          <w:sz w:val="30"/>
          <w:szCs w:val="30"/>
          <w:highlight w:val="none"/>
          <w:lang w:eastAsia="zh-CN"/>
        </w:rPr>
      </w:pPr>
      <w:r>
        <w:rPr>
          <w:rFonts w:hint="eastAsia" w:ascii="宋体" w:hAnsi="宋体"/>
          <w:b/>
          <w:color w:val="auto"/>
          <w:sz w:val="30"/>
          <w:szCs w:val="30"/>
          <w:highlight w:val="none"/>
        </w:rPr>
        <w:t>项目编号：</w:t>
      </w:r>
      <w:r>
        <w:rPr>
          <w:rFonts w:hint="eastAsia" w:ascii="宋体" w:hAnsi="宋体"/>
          <w:b/>
          <w:color w:val="auto"/>
          <w:sz w:val="30"/>
          <w:szCs w:val="30"/>
          <w:highlight w:val="none"/>
          <w:lang w:eastAsia="zh-CN"/>
        </w:rPr>
        <w:t>GXJBYF-ZB-2025-007</w:t>
      </w:r>
    </w:p>
    <w:p w14:paraId="076C466A">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 xml:space="preserve">采购人：广西壮族自治区工业和信息化厅 </w:t>
      </w:r>
    </w:p>
    <w:p w14:paraId="5DB200F5">
      <w:pPr>
        <w:keepNext w:val="0"/>
        <w:keepLines w:val="0"/>
        <w:pageBreakBefore w:val="0"/>
        <w:widowControl/>
        <w:tabs>
          <w:tab w:val="left" w:pos="993"/>
        </w:tabs>
        <w:kinsoku/>
        <w:wordWrap/>
        <w:overflowPunct/>
        <w:topLinePunct w:val="0"/>
        <w:autoSpaceDE/>
        <w:autoSpaceDN/>
        <w:bidi w:val="0"/>
        <w:adjustRightInd/>
        <w:snapToGrid/>
        <w:spacing w:line="360" w:lineRule="auto"/>
        <w:ind w:left="844" w:leftChars="402" w:firstLine="0" w:firstLineChars="0"/>
        <w:textAlignment w:val="auto"/>
        <w:rPr>
          <w:rFonts w:ascii="宋体" w:hAnsi="宋体"/>
          <w:b/>
          <w:color w:val="auto"/>
          <w:sz w:val="30"/>
          <w:szCs w:val="30"/>
          <w:highlight w:val="none"/>
        </w:rPr>
      </w:pPr>
      <w:r>
        <w:rPr>
          <w:rFonts w:hint="eastAsia" w:ascii="宋体" w:hAnsi="宋体"/>
          <w:b/>
          <w:color w:val="auto"/>
          <w:sz w:val="30"/>
          <w:szCs w:val="30"/>
          <w:highlight w:val="none"/>
        </w:rPr>
        <w:t>采购代理机构：广西建标建设工程咨询有限责任公司</w:t>
      </w:r>
    </w:p>
    <w:p w14:paraId="1881ACD5">
      <w:pPr>
        <w:tabs>
          <w:tab w:val="left" w:pos="993"/>
        </w:tabs>
        <w:spacing w:line="360" w:lineRule="auto"/>
        <w:ind w:left="848" w:leftChars="1" w:hanging="846" w:hangingChars="282"/>
        <w:jc w:val="center"/>
        <w:rPr>
          <w:rFonts w:ascii="宋体" w:hAnsi="宋体"/>
          <w:b/>
          <w:color w:val="auto"/>
          <w:sz w:val="30"/>
          <w:szCs w:val="30"/>
          <w:highlight w:val="none"/>
        </w:rPr>
      </w:pPr>
      <w:r>
        <w:rPr>
          <w:rFonts w:hint="eastAsia" w:ascii="宋体" w:hAnsi="宋体"/>
          <w:b/>
          <w:color w:val="auto"/>
          <w:sz w:val="30"/>
          <w:szCs w:val="30"/>
          <w:highlight w:val="none"/>
        </w:rPr>
        <w:t>二0二五年</w:t>
      </w:r>
      <w:r>
        <w:rPr>
          <w:rFonts w:hint="eastAsia" w:ascii="宋体" w:hAnsi="宋体"/>
          <w:b/>
          <w:color w:val="auto"/>
          <w:sz w:val="30"/>
          <w:szCs w:val="30"/>
          <w:highlight w:val="none"/>
          <w:lang w:val="en-US" w:eastAsia="zh-CN"/>
        </w:rPr>
        <w:t>十一</w:t>
      </w:r>
      <w:r>
        <w:rPr>
          <w:rFonts w:hint="eastAsia" w:ascii="宋体" w:hAnsi="宋体"/>
          <w:b/>
          <w:color w:val="auto"/>
          <w:sz w:val="30"/>
          <w:szCs w:val="30"/>
          <w:highlight w:val="none"/>
        </w:rPr>
        <w:t>月</w:t>
      </w:r>
    </w:p>
    <w:p w14:paraId="48C0436F">
      <w:pPr>
        <w:spacing w:line="400" w:lineRule="exact"/>
        <w:jc w:val="center"/>
        <w:rPr>
          <w:rFonts w:ascii="宋体" w:hAnsi="宋体"/>
          <w:b/>
          <w:color w:val="auto"/>
          <w:sz w:val="32"/>
          <w:szCs w:val="32"/>
          <w:highlight w:val="none"/>
        </w:rPr>
      </w:pPr>
    </w:p>
    <w:p w14:paraId="119A9DEB">
      <w:pPr>
        <w:spacing w:line="400" w:lineRule="exact"/>
        <w:jc w:val="center"/>
        <w:rPr>
          <w:rFonts w:ascii="宋体" w:hAnsi="宋体"/>
          <w:b/>
          <w:color w:val="auto"/>
          <w:sz w:val="44"/>
          <w:szCs w:val="44"/>
          <w:highlight w:val="none"/>
        </w:rPr>
      </w:pPr>
    </w:p>
    <w:p w14:paraId="7DE6133F">
      <w:pPr>
        <w:pStyle w:val="33"/>
        <w:rPr>
          <w:rFonts w:ascii="宋体" w:hAnsi="宋体"/>
          <w:b/>
          <w:color w:val="auto"/>
          <w:sz w:val="44"/>
          <w:szCs w:val="44"/>
          <w:highlight w:val="none"/>
        </w:rPr>
      </w:pPr>
    </w:p>
    <w:p w14:paraId="0239DB66">
      <w:pPr>
        <w:ind w:left="98" w:leftChars="47"/>
        <w:jc w:val="center"/>
        <w:rPr>
          <w:rFonts w:ascii="宋体" w:hAnsi="宋体" w:cs="宋体"/>
          <w:b/>
          <w:color w:val="auto"/>
          <w:sz w:val="42"/>
          <w:szCs w:val="72"/>
          <w:highlight w:val="none"/>
        </w:rPr>
        <w:sectPr>
          <w:footerReference r:id="rId6" w:type="first"/>
          <w:footerReference r:id="rId5" w:type="default"/>
          <w:pgSz w:w="11906" w:h="16838"/>
          <w:pgMar w:top="1440" w:right="1080" w:bottom="1440" w:left="1080" w:header="851" w:footer="850" w:gutter="0"/>
          <w:pgNumType w:start="0"/>
          <w:cols w:space="720" w:num="1"/>
          <w:docGrid w:type="linesAndChars" w:linePitch="312" w:charSpace="0"/>
        </w:sectPr>
      </w:pPr>
    </w:p>
    <w:p w14:paraId="4BA06057">
      <w:pPr>
        <w:spacing w:line="240" w:lineRule="auto"/>
        <w:jc w:val="center"/>
        <w:rPr>
          <w:rFonts w:ascii="宋体" w:hAnsi="宋体"/>
          <w:b/>
          <w:color w:val="auto"/>
          <w:sz w:val="44"/>
          <w:szCs w:val="44"/>
          <w:highlight w:val="none"/>
        </w:rPr>
      </w:pPr>
      <w:r>
        <w:rPr>
          <w:rFonts w:hint="eastAsia" w:ascii="宋体" w:hAnsi="宋体"/>
          <w:b/>
          <w:color w:val="auto"/>
          <w:sz w:val="44"/>
          <w:szCs w:val="44"/>
          <w:highlight w:val="none"/>
        </w:rPr>
        <w:t>目   录</w:t>
      </w:r>
    </w:p>
    <w:p w14:paraId="199AADAC">
      <w:pPr>
        <w:spacing w:line="400" w:lineRule="exact"/>
        <w:jc w:val="center"/>
        <w:rPr>
          <w:rFonts w:ascii="宋体" w:hAnsi="宋体"/>
          <w:b/>
          <w:color w:val="auto"/>
          <w:sz w:val="44"/>
          <w:szCs w:val="44"/>
          <w:highlight w:val="none"/>
        </w:rPr>
      </w:pPr>
    </w:p>
    <w:p w14:paraId="5639C323">
      <w:pPr>
        <w:pStyle w:val="36"/>
        <w:tabs>
          <w:tab w:val="right" w:leader="dot" w:pos="9070"/>
        </w:tabs>
        <w:spacing w:line="360" w:lineRule="auto"/>
        <w:rPr>
          <w:color w:val="auto"/>
          <w:sz w:val="28"/>
          <w:szCs w:val="28"/>
          <w:highlight w:val="none"/>
        </w:rPr>
      </w:pPr>
      <w:r>
        <w:rPr>
          <w:rFonts w:ascii="宋体" w:hAnsi="宋体"/>
          <w:b/>
          <w:color w:val="auto"/>
          <w:sz w:val="28"/>
          <w:szCs w:val="28"/>
          <w:highlight w:val="none"/>
        </w:rPr>
        <w:fldChar w:fldCharType="begin"/>
      </w:r>
      <w:r>
        <w:rPr>
          <w:rFonts w:ascii="宋体" w:hAnsi="宋体"/>
          <w:b/>
          <w:color w:val="auto"/>
          <w:sz w:val="28"/>
          <w:szCs w:val="28"/>
          <w:highlight w:val="none"/>
        </w:rPr>
        <w:instrText xml:space="preserve"> </w:instrText>
      </w:r>
      <w:r>
        <w:rPr>
          <w:rFonts w:hint="eastAsia" w:ascii="宋体" w:hAnsi="宋体"/>
          <w:b/>
          <w:color w:val="auto"/>
          <w:sz w:val="28"/>
          <w:szCs w:val="28"/>
          <w:highlight w:val="none"/>
        </w:rPr>
        <w:instrText xml:space="preserve">TOC \o "1-3" \h \z \u</w:instrText>
      </w:r>
      <w:r>
        <w:rPr>
          <w:rFonts w:ascii="宋体" w:hAnsi="宋体"/>
          <w:b/>
          <w:color w:val="auto"/>
          <w:sz w:val="28"/>
          <w:szCs w:val="28"/>
          <w:highlight w:val="none"/>
        </w:rPr>
        <w:instrText xml:space="preserve"> </w:instrText>
      </w:r>
      <w:r>
        <w:rPr>
          <w:rFonts w:ascii="宋体" w:hAnsi="宋体"/>
          <w:b/>
          <w:color w:val="auto"/>
          <w:sz w:val="28"/>
          <w:szCs w:val="28"/>
          <w:highlight w:val="none"/>
        </w:rPr>
        <w:fldChar w:fldCharType="separate"/>
      </w:r>
      <w:r>
        <w:rPr>
          <w:color w:val="auto"/>
          <w:highlight w:val="none"/>
        </w:rPr>
        <w:fldChar w:fldCharType="begin"/>
      </w:r>
      <w:r>
        <w:rPr>
          <w:color w:val="auto"/>
          <w:highlight w:val="none"/>
        </w:rPr>
        <w:instrText xml:space="preserve"> HYPERLINK \l "_Toc10176" </w:instrText>
      </w:r>
      <w:r>
        <w:rPr>
          <w:color w:val="auto"/>
          <w:highlight w:val="none"/>
        </w:rPr>
        <w:fldChar w:fldCharType="separate"/>
      </w:r>
      <w:r>
        <w:rPr>
          <w:rFonts w:hint="eastAsia"/>
          <w:color w:val="auto"/>
          <w:sz w:val="28"/>
          <w:szCs w:val="28"/>
          <w:highlight w:val="none"/>
        </w:rPr>
        <w:t>第一章 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_Toc10176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49699802">
      <w:pPr>
        <w:pStyle w:val="36"/>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"_Toc4281" </w:instrText>
      </w:r>
      <w:r>
        <w:rPr>
          <w:color w:val="auto"/>
          <w:highlight w:val="none"/>
        </w:rPr>
        <w:fldChar w:fldCharType="separate"/>
      </w:r>
      <w:r>
        <w:rPr>
          <w:rFonts w:hint="eastAsia"/>
          <w:color w:val="auto"/>
          <w:sz w:val="28"/>
          <w:szCs w:val="28"/>
          <w:highlight w:val="none"/>
        </w:rPr>
        <w:t>第二章 磋商须知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_Toc4281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12E6D236">
      <w:pPr>
        <w:pStyle w:val="36"/>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"_Toc12962" </w:instrText>
      </w:r>
      <w:r>
        <w:rPr>
          <w:color w:val="auto"/>
          <w:highlight w:val="none"/>
        </w:rPr>
        <w:fldChar w:fldCharType="separate"/>
      </w:r>
      <w:r>
        <w:rPr>
          <w:rFonts w:hint="eastAsia" w:ascii="Cambria" w:hAnsi="Cambria"/>
          <w:bCs/>
          <w:color w:val="auto"/>
          <w:sz w:val="28"/>
          <w:szCs w:val="28"/>
          <w:highlight w:val="none"/>
        </w:rPr>
        <w:t>第三章 项目需求一览表</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_Toc12962 \h </w:instrText>
      </w:r>
      <w:r>
        <w:rPr>
          <w:color w:val="auto"/>
          <w:sz w:val="28"/>
          <w:szCs w:val="28"/>
          <w:highlight w:val="none"/>
        </w:rPr>
        <w:fldChar w:fldCharType="separate"/>
      </w:r>
      <w:r>
        <w:rPr>
          <w:color w:val="auto"/>
          <w:sz w:val="28"/>
          <w:szCs w:val="28"/>
          <w:highlight w:val="none"/>
        </w:rPr>
        <w:t>15</w:t>
      </w:r>
      <w:r>
        <w:rPr>
          <w:color w:val="auto"/>
          <w:sz w:val="28"/>
          <w:szCs w:val="28"/>
          <w:highlight w:val="none"/>
        </w:rPr>
        <w:fldChar w:fldCharType="end"/>
      </w:r>
      <w:r>
        <w:rPr>
          <w:color w:val="auto"/>
          <w:sz w:val="28"/>
          <w:szCs w:val="28"/>
          <w:highlight w:val="none"/>
        </w:rPr>
        <w:fldChar w:fldCharType="end"/>
      </w:r>
    </w:p>
    <w:p w14:paraId="14DB9F52">
      <w:pPr>
        <w:pStyle w:val="36"/>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"_Toc22417" </w:instrText>
      </w:r>
      <w:r>
        <w:rPr>
          <w:color w:val="auto"/>
          <w:highlight w:val="none"/>
        </w:rPr>
        <w:fldChar w:fldCharType="separate"/>
      </w:r>
      <w:r>
        <w:rPr>
          <w:rFonts w:hint="eastAsia" w:ascii="宋体" w:hAnsi="宋体"/>
          <w:color w:val="auto"/>
          <w:sz w:val="28"/>
          <w:szCs w:val="28"/>
          <w:highlight w:val="none"/>
        </w:rPr>
        <w:t>第四章 评定成交的标准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_Toc22417 \h </w:instrText>
      </w:r>
      <w:r>
        <w:rPr>
          <w:color w:val="auto"/>
          <w:sz w:val="28"/>
          <w:szCs w:val="28"/>
          <w:highlight w:val="none"/>
        </w:rPr>
        <w:fldChar w:fldCharType="separate"/>
      </w:r>
      <w:r>
        <w:rPr>
          <w:color w:val="auto"/>
          <w:sz w:val="28"/>
          <w:szCs w:val="28"/>
          <w:highlight w:val="none"/>
        </w:rPr>
        <w:t>19</w:t>
      </w:r>
      <w:r>
        <w:rPr>
          <w:color w:val="auto"/>
          <w:sz w:val="28"/>
          <w:szCs w:val="28"/>
          <w:highlight w:val="none"/>
        </w:rPr>
        <w:fldChar w:fldCharType="end"/>
      </w:r>
      <w:r>
        <w:rPr>
          <w:color w:val="auto"/>
          <w:sz w:val="28"/>
          <w:szCs w:val="28"/>
          <w:highlight w:val="none"/>
        </w:rPr>
        <w:fldChar w:fldCharType="end"/>
      </w:r>
    </w:p>
    <w:p w14:paraId="6A08A68F">
      <w:pPr>
        <w:pStyle w:val="36"/>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"_Toc24235" </w:instrText>
      </w:r>
      <w:r>
        <w:rPr>
          <w:color w:val="auto"/>
          <w:highlight w:val="none"/>
        </w:rPr>
        <w:fldChar w:fldCharType="separate"/>
      </w:r>
      <w:r>
        <w:rPr>
          <w:rFonts w:hint="eastAsia" w:ascii="宋体" w:hAnsi="宋体"/>
          <w:color w:val="auto"/>
          <w:sz w:val="28"/>
          <w:szCs w:val="28"/>
          <w:highlight w:val="none"/>
        </w:rPr>
        <w:t>第五章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_Toc24235 \h </w:instrText>
      </w:r>
      <w:r>
        <w:rPr>
          <w:color w:val="auto"/>
          <w:sz w:val="28"/>
          <w:szCs w:val="28"/>
          <w:highlight w:val="none"/>
        </w:rPr>
        <w:fldChar w:fldCharType="separate"/>
      </w:r>
      <w:r>
        <w:rPr>
          <w:color w:val="auto"/>
          <w:sz w:val="28"/>
          <w:szCs w:val="28"/>
          <w:highlight w:val="none"/>
        </w:rPr>
        <w:t>22</w:t>
      </w:r>
      <w:r>
        <w:rPr>
          <w:color w:val="auto"/>
          <w:sz w:val="28"/>
          <w:szCs w:val="28"/>
          <w:highlight w:val="none"/>
        </w:rPr>
        <w:fldChar w:fldCharType="end"/>
      </w:r>
      <w:r>
        <w:rPr>
          <w:color w:val="auto"/>
          <w:sz w:val="28"/>
          <w:szCs w:val="28"/>
          <w:highlight w:val="none"/>
        </w:rPr>
        <w:fldChar w:fldCharType="end"/>
      </w:r>
    </w:p>
    <w:p w14:paraId="0481CBFF">
      <w:pPr>
        <w:pStyle w:val="36"/>
        <w:tabs>
          <w:tab w:val="right" w:leader="dot" w:pos="9070"/>
        </w:tabs>
        <w:spacing w:line="360" w:lineRule="auto"/>
        <w:rPr>
          <w:color w:val="auto"/>
          <w:sz w:val="28"/>
          <w:szCs w:val="28"/>
          <w:highlight w:val="none"/>
        </w:rPr>
      </w:pPr>
      <w:r>
        <w:rPr>
          <w:color w:val="auto"/>
          <w:highlight w:val="none"/>
        </w:rPr>
        <w:fldChar w:fldCharType="begin"/>
      </w:r>
      <w:r>
        <w:rPr>
          <w:color w:val="auto"/>
          <w:highlight w:val="none"/>
        </w:rPr>
        <w:instrText xml:space="preserve"> HYPERLINK \l "_Toc31117" </w:instrText>
      </w:r>
      <w:r>
        <w:rPr>
          <w:color w:val="auto"/>
          <w:highlight w:val="none"/>
        </w:rPr>
        <w:fldChar w:fldCharType="separate"/>
      </w:r>
      <w:r>
        <w:rPr>
          <w:rFonts w:hint="eastAsia" w:ascii="宋体" w:hAnsi="宋体"/>
          <w:color w:val="auto"/>
          <w:sz w:val="28"/>
          <w:szCs w:val="28"/>
          <w:highlight w:val="none"/>
        </w:rPr>
        <w:t>第六章 采购合同</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_Toc31117 \h </w:instrText>
      </w:r>
      <w:r>
        <w:rPr>
          <w:color w:val="auto"/>
          <w:sz w:val="28"/>
          <w:szCs w:val="28"/>
          <w:highlight w:val="none"/>
        </w:rPr>
        <w:fldChar w:fldCharType="separate"/>
      </w:r>
      <w:r>
        <w:rPr>
          <w:color w:val="auto"/>
          <w:sz w:val="28"/>
          <w:szCs w:val="28"/>
          <w:highlight w:val="none"/>
        </w:rPr>
        <w:t>36</w:t>
      </w:r>
      <w:r>
        <w:rPr>
          <w:color w:val="auto"/>
          <w:sz w:val="28"/>
          <w:szCs w:val="28"/>
          <w:highlight w:val="none"/>
        </w:rPr>
        <w:fldChar w:fldCharType="end"/>
      </w:r>
      <w:r>
        <w:rPr>
          <w:color w:val="auto"/>
          <w:sz w:val="28"/>
          <w:szCs w:val="28"/>
          <w:highlight w:val="none"/>
        </w:rPr>
        <w:fldChar w:fldCharType="end"/>
      </w:r>
    </w:p>
    <w:p w14:paraId="159FE998">
      <w:pPr>
        <w:tabs>
          <w:tab w:val="right" w:leader="dot" w:pos="9356"/>
        </w:tabs>
        <w:spacing w:line="360" w:lineRule="auto"/>
        <w:ind w:left="141" w:leftChars="67"/>
        <w:rPr>
          <w:rFonts w:ascii="宋体" w:hAnsi="宋体"/>
          <w:b/>
          <w:color w:val="auto"/>
          <w:sz w:val="28"/>
          <w:szCs w:val="28"/>
          <w:highlight w:val="none"/>
        </w:rPr>
      </w:pPr>
      <w:r>
        <w:rPr>
          <w:rFonts w:ascii="宋体" w:hAnsi="宋体"/>
          <w:color w:val="auto"/>
          <w:sz w:val="28"/>
          <w:szCs w:val="28"/>
          <w:highlight w:val="none"/>
        </w:rPr>
        <w:fldChar w:fldCharType="end"/>
      </w:r>
    </w:p>
    <w:p w14:paraId="1E460903">
      <w:pPr>
        <w:spacing w:line="400" w:lineRule="exact"/>
        <w:rPr>
          <w:rFonts w:ascii="宋体" w:hAnsi="宋体"/>
          <w:b/>
          <w:color w:val="auto"/>
          <w:sz w:val="32"/>
          <w:szCs w:val="32"/>
          <w:highlight w:val="none"/>
        </w:rPr>
      </w:pPr>
    </w:p>
    <w:p w14:paraId="65A9D77E">
      <w:pPr>
        <w:spacing w:line="400" w:lineRule="exact"/>
        <w:jc w:val="both"/>
        <w:rPr>
          <w:rFonts w:ascii="宋体" w:hAnsi="宋体"/>
          <w:b/>
          <w:color w:val="auto"/>
          <w:sz w:val="32"/>
          <w:szCs w:val="32"/>
          <w:highlight w:val="none"/>
        </w:rPr>
      </w:pPr>
    </w:p>
    <w:p w14:paraId="59F5514C">
      <w:pPr>
        <w:spacing w:line="400" w:lineRule="exact"/>
        <w:jc w:val="both"/>
        <w:rPr>
          <w:rFonts w:ascii="宋体" w:hAnsi="宋体"/>
          <w:b/>
          <w:color w:val="auto"/>
          <w:sz w:val="32"/>
          <w:szCs w:val="32"/>
          <w:highlight w:val="none"/>
        </w:rPr>
      </w:pPr>
      <w:bookmarkStart w:id="48" w:name="_GoBack"/>
      <w:bookmarkEnd w:id="48"/>
    </w:p>
    <w:p w14:paraId="3A6F7775">
      <w:pPr>
        <w:spacing w:line="400" w:lineRule="exact"/>
        <w:jc w:val="both"/>
        <w:rPr>
          <w:rFonts w:ascii="宋体" w:hAnsi="宋体"/>
          <w:b/>
          <w:color w:val="auto"/>
          <w:sz w:val="32"/>
          <w:szCs w:val="32"/>
          <w:highlight w:val="none"/>
        </w:rPr>
      </w:pPr>
    </w:p>
    <w:p w14:paraId="2AD53266">
      <w:pPr>
        <w:spacing w:line="400" w:lineRule="exact"/>
        <w:jc w:val="both"/>
        <w:rPr>
          <w:rFonts w:ascii="宋体" w:hAnsi="宋体"/>
          <w:b/>
          <w:color w:val="auto"/>
          <w:sz w:val="32"/>
          <w:szCs w:val="32"/>
          <w:highlight w:val="none"/>
        </w:rPr>
      </w:pPr>
    </w:p>
    <w:p w14:paraId="50470526">
      <w:pPr>
        <w:spacing w:line="400" w:lineRule="exact"/>
        <w:jc w:val="both"/>
        <w:rPr>
          <w:rFonts w:ascii="宋体" w:hAnsi="宋体"/>
          <w:b/>
          <w:color w:val="auto"/>
          <w:sz w:val="32"/>
          <w:szCs w:val="32"/>
          <w:highlight w:val="none"/>
        </w:rPr>
      </w:pPr>
    </w:p>
    <w:p w14:paraId="50B22D7F">
      <w:pPr>
        <w:spacing w:line="400" w:lineRule="exact"/>
        <w:jc w:val="both"/>
        <w:rPr>
          <w:rFonts w:ascii="宋体" w:hAnsi="宋体"/>
          <w:b/>
          <w:color w:val="auto"/>
          <w:sz w:val="32"/>
          <w:szCs w:val="32"/>
          <w:highlight w:val="none"/>
        </w:rPr>
      </w:pPr>
    </w:p>
    <w:p w14:paraId="41CEA506">
      <w:pPr>
        <w:spacing w:line="400" w:lineRule="exact"/>
        <w:jc w:val="both"/>
        <w:rPr>
          <w:rFonts w:ascii="宋体" w:hAnsi="宋体"/>
          <w:b/>
          <w:color w:val="auto"/>
          <w:sz w:val="32"/>
          <w:szCs w:val="32"/>
          <w:highlight w:val="none"/>
        </w:rPr>
      </w:pPr>
    </w:p>
    <w:p w14:paraId="2FF931AA">
      <w:pPr>
        <w:spacing w:line="400" w:lineRule="exact"/>
        <w:jc w:val="both"/>
        <w:rPr>
          <w:rFonts w:ascii="宋体" w:hAnsi="宋体"/>
          <w:b/>
          <w:color w:val="auto"/>
          <w:sz w:val="32"/>
          <w:szCs w:val="32"/>
          <w:highlight w:val="none"/>
        </w:rPr>
      </w:pPr>
    </w:p>
    <w:p w14:paraId="4AABB1B5">
      <w:pPr>
        <w:spacing w:line="400" w:lineRule="exact"/>
        <w:jc w:val="both"/>
        <w:rPr>
          <w:rFonts w:ascii="宋体" w:hAnsi="宋体"/>
          <w:b/>
          <w:color w:val="auto"/>
          <w:sz w:val="32"/>
          <w:szCs w:val="32"/>
          <w:highlight w:val="none"/>
        </w:rPr>
      </w:pPr>
    </w:p>
    <w:p w14:paraId="09617DED">
      <w:pPr>
        <w:spacing w:line="400" w:lineRule="exact"/>
        <w:jc w:val="both"/>
        <w:rPr>
          <w:rFonts w:ascii="宋体" w:hAnsi="宋体"/>
          <w:b/>
          <w:color w:val="auto"/>
          <w:sz w:val="32"/>
          <w:szCs w:val="32"/>
          <w:highlight w:val="none"/>
        </w:rPr>
      </w:pPr>
    </w:p>
    <w:p w14:paraId="009DC5C4">
      <w:pPr>
        <w:spacing w:line="400" w:lineRule="exact"/>
        <w:jc w:val="both"/>
        <w:rPr>
          <w:rFonts w:ascii="宋体" w:hAnsi="宋体"/>
          <w:b/>
          <w:color w:val="auto"/>
          <w:sz w:val="32"/>
          <w:szCs w:val="32"/>
          <w:highlight w:val="none"/>
        </w:rPr>
      </w:pPr>
    </w:p>
    <w:p w14:paraId="16044C9B">
      <w:pPr>
        <w:spacing w:line="400" w:lineRule="exact"/>
        <w:jc w:val="both"/>
        <w:rPr>
          <w:rFonts w:ascii="宋体" w:hAnsi="宋体"/>
          <w:b/>
          <w:color w:val="auto"/>
          <w:sz w:val="32"/>
          <w:szCs w:val="32"/>
          <w:highlight w:val="none"/>
        </w:rPr>
      </w:pPr>
    </w:p>
    <w:p w14:paraId="030969DA">
      <w:pPr>
        <w:jc w:val="center"/>
        <w:outlineLvl w:val="0"/>
        <w:rPr>
          <w:b/>
          <w:color w:val="auto"/>
          <w:sz w:val="32"/>
          <w:szCs w:val="32"/>
          <w:highlight w:val="none"/>
        </w:rPr>
        <w:sectPr>
          <w:pgSz w:w="11910" w:h="16840"/>
          <w:pgMar w:top="1440" w:right="1080" w:bottom="1440" w:left="1080" w:header="720" w:footer="720" w:gutter="0"/>
          <w:cols w:space="720" w:num="1"/>
        </w:sectPr>
      </w:pPr>
      <w:bookmarkStart w:id="0" w:name="_Hlt512352103"/>
      <w:bookmarkEnd w:id="0"/>
      <w:bookmarkStart w:id="1" w:name="_Toc10176"/>
    </w:p>
    <w:p w14:paraId="56419414">
      <w:pPr>
        <w:spacing w:line="240" w:lineRule="auto"/>
        <w:jc w:val="center"/>
        <w:outlineLvl w:val="0"/>
        <w:rPr>
          <w:b/>
          <w:color w:val="auto"/>
          <w:sz w:val="32"/>
          <w:szCs w:val="32"/>
          <w:highlight w:val="none"/>
        </w:rPr>
      </w:pPr>
      <w:r>
        <w:rPr>
          <w:rFonts w:hint="eastAsia"/>
          <w:b/>
          <w:color w:val="auto"/>
          <w:sz w:val="32"/>
          <w:szCs w:val="32"/>
          <w:highlight w:val="none"/>
        </w:rPr>
        <w:t>第一章 竞争性磋商公告</w:t>
      </w:r>
      <w:bookmarkEnd w:id="1"/>
    </w:p>
    <w:p w14:paraId="66B8CECA">
      <w:pPr>
        <w:spacing w:line="400" w:lineRule="exact"/>
        <w:rPr>
          <w:color w:val="auto"/>
          <w:highlight w:val="none"/>
        </w:rPr>
      </w:pPr>
      <w:bookmarkStart w:id="2" w:name="_Hlt513203789"/>
      <w:bookmarkEnd w:id="2"/>
    </w:p>
    <w:p w14:paraId="43AFCE81">
      <w:pPr>
        <w:spacing w:line="400" w:lineRule="exact"/>
        <w:jc w:val="center"/>
        <w:rPr>
          <w:rFonts w:hAnsi="宋体"/>
          <w:b/>
          <w:bCs/>
          <w:color w:val="auto"/>
          <w:sz w:val="24"/>
          <w:highlight w:val="none"/>
        </w:rPr>
      </w:pPr>
      <w:r>
        <w:rPr>
          <w:rFonts w:hint="eastAsia"/>
          <w:b/>
          <w:color w:val="auto"/>
          <w:sz w:val="24"/>
          <w:highlight w:val="none"/>
        </w:rPr>
        <w:t>广西建标建设工程咨询有限责任公司关于</w:t>
      </w:r>
      <w:r>
        <w:rPr>
          <w:rFonts w:hint="eastAsia"/>
          <w:b/>
          <w:color w:val="auto"/>
          <w:sz w:val="24"/>
          <w:highlight w:val="none"/>
          <w:lang w:eastAsia="zh-CN"/>
        </w:rPr>
        <w:t>基于超短波监测管理一体化平台的基础平台符合性测试和互联互通测试服务</w:t>
      </w:r>
      <w:r>
        <w:rPr>
          <w:rFonts w:hint="eastAsia" w:hAnsi="宋体"/>
          <w:b/>
          <w:bCs/>
          <w:color w:val="auto"/>
          <w:sz w:val="24"/>
          <w:highlight w:val="none"/>
        </w:rPr>
        <w:t>（项目编号：</w:t>
      </w:r>
      <w:r>
        <w:rPr>
          <w:rFonts w:hint="eastAsia" w:hAnsi="宋体"/>
          <w:b/>
          <w:bCs/>
          <w:color w:val="auto"/>
          <w:sz w:val="24"/>
          <w:highlight w:val="none"/>
          <w:lang w:eastAsia="zh-CN"/>
        </w:rPr>
        <w:t>GXJBYF-ZB-2025-007</w:t>
      </w:r>
      <w:r>
        <w:rPr>
          <w:rFonts w:hint="eastAsia" w:hAnsi="宋体"/>
          <w:b/>
          <w:bCs/>
          <w:color w:val="auto"/>
          <w:sz w:val="24"/>
          <w:highlight w:val="none"/>
        </w:rPr>
        <w:t>）的竞争性磋商公告</w:t>
      </w:r>
    </w:p>
    <w:p w14:paraId="74A05F73">
      <w:pPr>
        <w:spacing w:line="240" w:lineRule="auto"/>
        <w:ind w:left="-283" w:leftChars="-135" w:right="-334" w:rightChars="-159" w:firstLine="420" w:firstLineChars="200"/>
        <w:rPr>
          <w:rFonts w:ascii="宋体" w:hAnsi="宋体" w:cs="宋体"/>
          <w:color w:val="auto"/>
          <w:szCs w:val="21"/>
          <w:highlight w:val="none"/>
        </w:rPr>
      </w:pPr>
      <w:bookmarkStart w:id="3" w:name="_Toc35393798"/>
      <w:bookmarkStart w:id="4" w:name="_Toc35393629"/>
      <w:bookmarkStart w:id="5" w:name="_Toc28359089"/>
      <w:bookmarkStart w:id="6" w:name="_Toc28359012"/>
      <w:bookmarkStart w:id="7" w:name="_Toc20238"/>
      <w:bookmarkStart w:id="8" w:name="OLE_LINK1"/>
    </w:p>
    <w:p w14:paraId="1069FC20">
      <w:pPr>
        <w:spacing w:line="44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广西建标建设工程咨询有限责任公司受广西壮族自治区工业和信息化厅委托，现对</w:t>
      </w:r>
      <w:r>
        <w:rPr>
          <w:rFonts w:hint="eastAsia" w:ascii="宋体" w:hAnsi="宋体" w:cs="宋体"/>
          <w:color w:val="auto"/>
          <w:szCs w:val="21"/>
          <w:highlight w:val="none"/>
          <w:u w:val="single"/>
          <w:lang w:eastAsia="zh-CN"/>
        </w:rPr>
        <w:t>基于超短波监测管理一体化平台的基础平台符合性测试和互联互通测试服务</w:t>
      </w:r>
      <w:r>
        <w:rPr>
          <w:rFonts w:hint="eastAsia" w:ascii="宋体" w:hAnsi="宋体" w:cs="宋体"/>
          <w:color w:val="auto"/>
          <w:szCs w:val="21"/>
          <w:highlight w:val="none"/>
        </w:rPr>
        <w:t>进行竞争性磋商采购，欢迎符合条件的供应商前来参加磋商活动。</w:t>
      </w:r>
    </w:p>
    <w:p w14:paraId="558EAB35">
      <w:pPr>
        <w:pStyle w:val="3"/>
        <w:spacing w:before="0" w:after="0" w:line="440" w:lineRule="exact"/>
        <w:ind w:left="-283" w:leftChars="-135" w:right="-334" w:rightChars="-159" w:firstLine="482" w:firstLineChars="200"/>
        <w:rPr>
          <w:rFonts w:ascii="宋体" w:hAnsi="宋体" w:cs="宋体"/>
          <w:color w:val="auto"/>
          <w:sz w:val="24"/>
          <w:szCs w:val="24"/>
          <w:highlight w:val="none"/>
        </w:rPr>
      </w:pPr>
      <w:bookmarkStart w:id="9" w:name="_Toc3279"/>
      <w:bookmarkStart w:id="10" w:name="_Toc11226"/>
      <w:bookmarkStart w:id="11" w:name="_Toc17065"/>
      <w:r>
        <w:rPr>
          <w:rFonts w:hint="eastAsia" w:ascii="宋体" w:hAnsi="宋体" w:cs="宋体"/>
          <w:color w:val="auto"/>
          <w:sz w:val="24"/>
          <w:szCs w:val="24"/>
          <w:highlight w:val="none"/>
        </w:rPr>
        <w:t>一、项目基本情况</w:t>
      </w:r>
      <w:bookmarkEnd w:id="3"/>
      <w:bookmarkEnd w:id="4"/>
      <w:bookmarkEnd w:id="5"/>
      <w:bookmarkEnd w:id="6"/>
      <w:bookmarkEnd w:id="7"/>
      <w:bookmarkEnd w:id="9"/>
      <w:bookmarkEnd w:id="10"/>
      <w:bookmarkEnd w:id="11"/>
    </w:p>
    <w:p w14:paraId="3729EE97">
      <w:pPr>
        <w:spacing w:line="440" w:lineRule="exact"/>
        <w:ind w:firstLine="422"/>
        <w:rPr>
          <w:rFonts w:hint="eastAsia" w:eastAsia="宋体"/>
          <w:color w:val="auto"/>
          <w:szCs w:val="21"/>
          <w:highlight w:val="none"/>
          <w:lang w:eastAsia="zh-CN"/>
        </w:rPr>
      </w:pPr>
      <w:r>
        <w:rPr>
          <w:rFonts w:hint="eastAsia" w:ascii="宋体" w:hAnsi="宋体" w:cs="宋体"/>
          <w:color w:val="auto"/>
          <w:szCs w:val="21"/>
          <w:highlight w:val="none"/>
        </w:rPr>
        <w:t>项目名称：</w:t>
      </w:r>
      <w:r>
        <w:rPr>
          <w:rFonts w:hint="eastAsia" w:ascii="宋体" w:hAnsi="宋体"/>
          <w:color w:val="auto"/>
          <w:kern w:val="0"/>
          <w:szCs w:val="21"/>
          <w:highlight w:val="none"/>
          <w:lang w:eastAsia="zh-CN"/>
        </w:rPr>
        <w:t>基于超短波监测管理一体化平台的基础平台符合性测试和互联互通测试服务</w:t>
      </w:r>
    </w:p>
    <w:bookmarkEnd w:id="8"/>
    <w:p w14:paraId="5EED6A76">
      <w:pPr>
        <w:spacing w:line="440" w:lineRule="exact"/>
        <w:ind w:firstLine="422"/>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GXJBYF-ZB-2025-007</w:t>
      </w:r>
    </w:p>
    <w:p w14:paraId="68213E4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采购方式：竞争性磋商</w:t>
      </w:r>
    </w:p>
    <w:p w14:paraId="2A4E6884">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预算金额：</w:t>
      </w:r>
      <w:r>
        <w:rPr>
          <w:rFonts w:hint="eastAsia" w:ascii="宋体" w:hAnsi="宋体" w:cs="宋体"/>
          <w:color w:val="auto"/>
          <w:szCs w:val="21"/>
          <w:highlight w:val="none"/>
          <w:lang w:val="en-US" w:eastAsia="zh-CN"/>
        </w:rPr>
        <w:t>640000.00</w:t>
      </w:r>
      <w:r>
        <w:rPr>
          <w:rFonts w:hint="eastAsia" w:ascii="宋体" w:hAnsi="宋体" w:cs="宋体"/>
          <w:color w:val="auto"/>
          <w:szCs w:val="21"/>
          <w:highlight w:val="none"/>
        </w:rPr>
        <w:t>元</w:t>
      </w:r>
    </w:p>
    <w:p w14:paraId="2815E4E4">
      <w:pPr>
        <w:spacing w:line="440" w:lineRule="exact"/>
        <w:ind w:left="-283" w:leftChars="-135" w:right="-334" w:rightChars="-159" w:firstLine="630" w:firstLineChars="300"/>
        <w:rPr>
          <w:rFonts w:hint="eastAsia" w:ascii="宋体" w:hAnsi="宋体" w:cs="宋体"/>
          <w:color w:val="auto"/>
          <w:szCs w:val="21"/>
          <w:highlight w:val="none"/>
        </w:rPr>
      </w:pPr>
      <w:r>
        <w:rPr>
          <w:rFonts w:hint="eastAsia" w:ascii="宋体" w:hAnsi="宋体" w:cs="宋体"/>
          <w:color w:val="auto"/>
          <w:szCs w:val="21"/>
          <w:highlight w:val="none"/>
        </w:rPr>
        <w:t>最高限价：</w:t>
      </w:r>
      <w:r>
        <w:rPr>
          <w:rFonts w:hint="eastAsia" w:ascii="宋体" w:hAnsi="宋体" w:cs="宋体"/>
          <w:color w:val="auto"/>
          <w:szCs w:val="21"/>
          <w:highlight w:val="none"/>
          <w:lang w:val="en-US" w:eastAsia="zh-CN"/>
        </w:rPr>
        <w:t>640000.00</w:t>
      </w:r>
      <w:r>
        <w:rPr>
          <w:rFonts w:hint="eastAsia" w:ascii="宋体" w:hAnsi="宋体" w:cs="宋体"/>
          <w:color w:val="auto"/>
          <w:szCs w:val="21"/>
          <w:highlight w:val="none"/>
        </w:rPr>
        <w:t>元</w:t>
      </w:r>
    </w:p>
    <w:p w14:paraId="21D5188A">
      <w:pPr>
        <w:spacing w:line="440" w:lineRule="exact"/>
        <w:ind w:left="-283" w:leftChars="-135" w:right="-334" w:rightChars="-159" w:firstLine="630" w:firstLineChars="300"/>
        <w:rPr>
          <w:rFonts w:ascii="宋体" w:hAnsi="宋体" w:cs="宋体"/>
          <w:color w:val="auto"/>
          <w:szCs w:val="21"/>
          <w:highlight w:val="none"/>
        </w:rPr>
      </w:pPr>
      <w:r>
        <w:rPr>
          <w:rFonts w:hint="eastAsia" w:ascii="宋体" w:hAnsi="宋体" w:cs="宋体"/>
          <w:color w:val="auto"/>
          <w:szCs w:val="21"/>
          <w:highlight w:val="none"/>
        </w:rPr>
        <w:t>采购需求：</w:t>
      </w:r>
      <w:r>
        <w:rPr>
          <w:rFonts w:hint="eastAsia" w:ascii="宋体" w:hAnsi="宋体" w:cs="宋体"/>
          <w:color w:val="auto"/>
          <w:szCs w:val="21"/>
          <w:highlight w:val="none"/>
          <w:lang w:eastAsia="zh-CN"/>
        </w:rPr>
        <w:t>基于超短波监测管理一体化平台的基础平台符合性测试和互联互通测试服务内容包括基础平台集成符合性、网络质量、架构符合性、资源调配平台（管控系统）和监测设备等五部分测试内容</w:t>
      </w:r>
      <w:r>
        <w:rPr>
          <w:rFonts w:hint="eastAsia" w:ascii="宋体" w:hAnsi="宋体" w:cs="宋体"/>
          <w:color w:val="auto"/>
          <w:szCs w:val="21"/>
          <w:highlight w:val="none"/>
        </w:rPr>
        <w:t>。具体内容详见竞争性磋商文件。</w:t>
      </w:r>
    </w:p>
    <w:p w14:paraId="140A87EA">
      <w:pPr>
        <w:spacing w:line="440" w:lineRule="exact"/>
        <w:ind w:left="-283" w:leftChars="-135" w:right="-334" w:rightChars="-159" w:firstLine="630" w:firstLineChars="300"/>
        <w:rPr>
          <w:rFonts w:ascii="宋体" w:hAnsi="宋体" w:cs="宋体"/>
          <w:color w:val="auto"/>
          <w:szCs w:val="21"/>
          <w:highlight w:val="none"/>
        </w:rPr>
      </w:pPr>
      <w:r>
        <w:rPr>
          <w:rFonts w:ascii="宋体" w:hAnsi="宋体"/>
          <w:color w:val="auto"/>
          <w:szCs w:val="21"/>
          <w:highlight w:val="none"/>
        </w:rPr>
        <w:t>服务期</w:t>
      </w:r>
      <w:r>
        <w:rPr>
          <w:rFonts w:hint="eastAsia" w:ascii="宋体" w:hAnsi="宋体"/>
          <w:color w:val="auto"/>
          <w:szCs w:val="21"/>
          <w:highlight w:val="none"/>
        </w:rPr>
        <w:t>：</w:t>
      </w:r>
      <w:r>
        <w:rPr>
          <w:rFonts w:hint="eastAsia" w:ascii="宋体" w:hAnsi="宋体"/>
          <w:color w:val="auto"/>
          <w:szCs w:val="21"/>
          <w:highlight w:val="none"/>
          <w:lang w:eastAsia="zh-CN"/>
        </w:rPr>
        <w:t>合同签订后5个月内完成测试并出具相应的测试报告</w:t>
      </w:r>
      <w:r>
        <w:rPr>
          <w:rFonts w:hint="eastAsia" w:ascii="宋体" w:hAnsi="宋体"/>
          <w:color w:val="auto"/>
          <w:szCs w:val="21"/>
          <w:highlight w:val="none"/>
        </w:rPr>
        <w:t>。</w:t>
      </w:r>
    </w:p>
    <w:p w14:paraId="278983AD">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二、</w:t>
      </w:r>
      <w:r>
        <w:rPr>
          <w:rFonts w:hint="eastAsia" w:ascii="宋体" w:hAnsi="宋体"/>
          <w:b/>
          <w:bCs/>
          <w:color w:val="auto"/>
          <w:kern w:val="0"/>
          <w:szCs w:val="21"/>
          <w:highlight w:val="none"/>
        </w:rPr>
        <w:t>供应商</w:t>
      </w:r>
      <w:r>
        <w:rPr>
          <w:rFonts w:hint="eastAsia" w:ascii="宋体" w:hAnsi="宋体" w:cs="宋体"/>
          <w:b/>
          <w:bCs/>
          <w:color w:val="auto"/>
          <w:sz w:val="24"/>
          <w:highlight w:val="none"/>
        </w:rPr>
        <w:t>的资格要求：</w:t>
      </w:r>
    </w:p>
    <w:p w14:paraId="018F2BCE">
      <w:pPr>
        <w:spacing w:line="440" w:lineRule="exact"/>
        <w:ind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14:paraId="3D643A38">
      <w:pPr>
        <w:spacing w:line="440" w:lineRule="exact"/>
        <w:ind w:firstLine="420" w:firstLineChars="200"/>
        <w:rPr>
          <w:rFonts w:ascii="宋体" w:hAnsi="宋体" w:cs="宋体"/>
          <w:color w:val="auto"/>
          <w:kern w:val="0"/>
          <w:szCs w:val="21"/>
          <w:highlight w:val="none"/>
        </w:rPr>
      </w:pPr>
      <w:bookmarkStart w:id="12" w:name="_Toc35393800"/>
      <w:bookmarkStart w:id="13" w:name="_Toc28359014"/>
      <w:bookmarkStart w:id="14" w:name="_Toc35393631"/>
      <w:bookmarkStart w:id="15" w:name="_Toc28359091"/>
      <w:r>
        <w:rPr>
          <w:rFonts w:hint="eastAsia" w:ascii="宋体" w:hAnsi="宋体" w:cs="宋体"/>
          <w:color w:val="auto"/>
          <w:kern w:val="0"/>
          <w:szCs w:val="21"/>
          <w:highlight w:val="none"/>
        </w:rPr>
        <w:t>2.落实政府采购政策需满足的资格要求：无</w:t>
      </w:r>
    </w:p>
    <w:p w14:paraId="608EFD49">
      <w:pPr>
        <w:spacing w:line="440" w:lineRule="exact"/>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16480C53">
      <w:pPr>
        <w:spacing w:line="440" w:lineRule="exact"/>
        <w:ind w:firstLine="420" w:firstLineChars="200"/>
        <w:rPr>
          <w:rFonts w:ascii="宋体" w:hAnsi="宋体" w:cs="宋体"/>
          <w:b/>
          <w:color w:val="auto"/>
          <w:szCs w:val="21"/>
          <w:highlight w:val="none"/>
        </w:rPr>
      </w:pPr>
      <w:r>
        <w:rPr>
          <w:rFonts w:hint="eastAsia" w:ascii="宋体" w:hAnsi="宋体" w:cs="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1F2D94D0">
      <w:pPr>
        <w:spacing w:line="44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1D595AE4">
      <w:pPr>
        <w:spacing w:line="440" w:lineRule="exact"/>
        <w:ind w:firstLine="424" w:firstLineChars="202"/>
        <w:rPr>
          <w:color w:val="auto"/>
          <w:highlight w:val="none"/>
        </w:rPr>
      </w:pPr>
      <w:r>
        <w:rPr>
          <w:rFonts w:hint="eastAsia" w:ascii="宋体" w:hAnsi="宋体"/>
          <w:color w:val="auto"/>
          <w:highlight w:val="none"/>
        </w:rPr>
        <w:t>6.</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2BA20FFB">
      <w:pPr>
        <w:spacing w:line="440" w:lineRule="exact"/>
        <w:ind w:left="-283" w:leftChars="-135" w:right="-334" w:rightChars="-159" w:firstLine="482" w:firstLineChars="200"/>
        <w:rPr>
          <w:rFonts w:ascii="宋体" w:hAnsi="宋体" w:cs="宋体"/>
          <w:b/>
          <w:bCs/>
          <w:color w:val="auto"/>
          <w:sz w:val="24"/>
          <w:highlight w:val="none"/>
        </w:rPr>
      </w:pPr>
      <w:r>
        <w:rPr>
          <w:rFonts w:hint="eastAsia" w:ascii="宋体" w:hAnsi="宋体" w:cs="宋体"/>
          <w:b/>
          <w:bCs/>
          <w:color w:val="auto"/>
          <w:sz w:val="24"/>
          <w:highlight w:val="none"/>
        </w:rPr>
        <w:t>三、</w:t>
      </w:r>
      <w:bookmarkEnd w:id="12"/>
      <w:bookmarkEnd w:id="13"/>
      <w:bookmarkEnd w:id="14"/>
      <w:bookmarkEnd w:id="15"/>
      <w:r>
        <w:rPr>
          <w:rFonts w:hint="eastAsia" w:ascii="宋体" w:hAnsi="宋体" w:cs="宋体"/>
          <w:b/>
          <w:bCs/>
          <w:color w:val="auto"/>
          <w:sz w:val="24"/>
          <w:highlight w:val="none"/>
        </w:rPr>
        <w:t>获取采购文件</w:t>
      </w:r>
    </w:p>
    <w:p w14:paraId="78DF0200">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1.时间：</w:t>
      </w:r>
      <w:r>
        <w:rPr>
          <w:rFonts w:ascii="宋体" w:hAnsi="宋体" w:cs="宋体;SimSun"/>
          <w:bCs/>
          <w:color w:val="auto"/>
          <w:szCs w:val="21"/>
          <w:highlight w:val="none"/>
        </w:rPr>
        <w:t>20</w:t>
      </w:r>
      <w:r>
        <w:rPr>
          <w:rFonts w:hint="eastAsia" w:ascii="宋体" w:hAnsi="宋体" w:cs="宋体;SimSun"/>
          <w:bCs/>
          <w:color w:val="auto"/>
          <w:szCs w:val="21"/>
          <w:highlight w:val="none"/>
        </w:rPr>
        <w:t>25年</w:t>
      </w:r>
      <w:r>
        <w:rPr>
          <w:rFonts w:hint="eastAsia" w:ascii="宋体" w:hAnsi="宋体" w:cs="宋体;SimSun"/>
          <w:bCs/>
          <w:color w:val="auto"/>
          <w:szCs w:val="21"/>
          <w:highlight w:val="none"/>
          <w:lang w:val="en-US" w:eastAsia="zh-CN"/>
        </w:rPr>
        <w:t>11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21</w:t>
      </w:r>
      <w:r>
        <w:rPr>
          <w:rFonts w:hint="eastAsia" w:ascii="宋体" w:hAnsi="宋体" w:cs="宋体;SimSun"/>
          <w:bCs/>
          <w:color w:val="auto"/>
          <w:szCs w:val="21"/>
          <w:highlight w:val="none"/>
        </w:rPr>
        <w:t>日至</w:t>
      </w:r>
      <w:r>
        <w:rPr>
          <w:rFonts w:ascii="宋体" w:hAnsi="宋体" w:cs="宋体;SimSun"/>
          <w:bCs/>
          <w:color w:val="auto"/>
          <w:szCs w:val="21"/>
          <w:highlight w:val="none"/>
        </w:rPr>
        <w:t>20</w:t>
      </w:r>
      <w:r>
        <w:rPr>
          <w:rFonts w:hint="eastAsia" w:ascii="宋体" w:hAnsi="宋体" w:cs="宋体;SimSun"/>
          <w:bCs/>
          <w:color w:val="auto"/>
          <w:szCs w:val="21"/>
          <w:highlight w:val="none"/>
        </w:rPr>
        <w:t>25年</w:t>
      </w:r>
      <w:r>
        <w:rPr>
          <w:rFonts w:hint="eastAsia" w:ascii="宋体" w:hAnsi="宋体" w:cs="宋体;SimSun"/>
          <w:bCs/>
          <w:color w:val="auto"/>
          <w:szCs w:val="21"/>
          <w:highlight w:val="none"/>
          <w:lang w:val="en-US" w:eastAsia="zh-CN"/>
        </w:rPr>
        <w:t>11</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28</w:t>
      </w:r>
      <w:r>
        <w:rPr>
          <w:rFonts w:hint="eastAsia" w:ascii="宋体" w:hAnsi="宋体" w:cs="宋体;SimSun"/>
          <w:bCs/>
          <w:color w:val="auto"/>
          <w:szCs w:val="21"/>
          <w:highlight w:val="none"/>
        </w:rPr>
        <w:t>日</w:t>
      </w:r>
      <w:r>
        <w:rPr>
          <w:rFonts w:hint="eastAsia" w:ascii="宋体" w:hAnsi="宋体" w:cs="宋体;SimSun"/>
          <w:bCs/>
          <w:color w:val="auto"/>
          <w:szCs w:val="21"/>
          <w:highlight w:val="none"/>
        </w:rPr>
        <w:t>，上午</w:t>
      </w:r>
      <w:r>
        <w:rPr>
          <w:rFonts w:ascii="宋体" w:hAnsi="宋体" w:cs="宋体;SimSun"/>
          <w:bCs/>
          <w:color w:val="auto"/>
          <w:szCs w:val="21"/>
          <w:highlight w:val="none"/>
        </w:rPr>
        <w:t>9:00</w:t>
      </w:r>
      <w:r>
        <w:rPr>
          <w:rFonts w:hint="eastAsia" w:ascii="宋体" w:hAnsi="宋体" w:cs="宋体;SimSun"/>
          <w:bCs/>
          <w:color w:val="auto"/>
          <w:szCs w:val="21"/>
          <w:highlight w:val="none"/>
        </w:rPr>
        <w:t>～</w:t>
      </w:r>
      <w:r>
        <w:rPr>
          <w:rFonts w:ascii="宋体" w:hAnsi="宋体" w:cs="宋体;SimSun"/>
          <w:bCs/>
          <w:color w:val="auto"/>
          <w:szCs w:val="21"/>
          <w:highlight w:val="none"/>
        </w:rPr>
        <w:t>1</w:t>
      </w:r>
      <w:r>
        <w:rPr>
          <w:rFonts w:hint="eastAsia" w:ascii="宋体" w:hAnsi="宋体" w:cs="宋体;SimSun"/>
          <w:bCs/>
          <w:color w:val="auto"/>
          <w:szCs w:val="21"/>
          <w:highlight w:val="none"/>
        </w:rPr>
        <w:t>2</w:t>
      </w:r>
      <w:r>
        <w:rPr>
          <w:rFonts w:ascii="宋体" w:hAnsi="宋体" w:cs="宋体;SimSun"/>
          <w:bCs/>
          <w:color w:val="auto"/>
          <w:szCs w:val="21"/>
          <w:highlight w:val="none"/>
        </w:rPr>
        <w:t>:</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，下午</w:t>
      </w:r>
      <w:r>
        <w:rPr>
          <w:rFonts w:ascii="宋体" w:hAnsi="宋体" w:cs="宋体;SimSun"/>
          <w:bCs/>
          <w:color w:val="auto"/>
          <w:szCs w:val="21"/>
          <w:highlight w:val="none"/>
        </w:rPr>
        <w:t>15:</w:t>
      </w:r>
      <w:r>
        <w:rPr>
          <w:rFonts w:hint="eastAsia" w:ascii="宋体" w:hAnsi="宋体" w:cs="宋体;SimSun"/>
          <w:bCs/>
          <w:color w:val="auto"/>
          <w:szCs w:val="21"/>
          <w:highlight w:val="none"/>
        </w:rPr>
        <w:t>0</w:t>
      </w:r>
      <w:r>
        <w:rPr>
          <w:rFonts w:ascii="宋体" w:hAnsi="宋体" w:cs="宋体;SimSun"/>
          <w:bCs/>
          <w:color w:val="auto"/>
          <w:szCs w:val="21"/>
          <w:highlight w:val="none"/>
        </w:rPr>
        <w:t>0</w:t>
      </w:r>
      <w:r>
        <w:rPr>
          <w:rFonts w:hint="eastAsia" w:ascii="宋体" w:hAnsi="宋体" w:cs="宋体;SimSun"/>
          <w:bCs/>
          <w:color w:val="auto"/>
          <w:szCs w:val="21"/>
          <w:highlight w:val="none"/>
        </w:rPr>
        <w:t>～</w:t>
      </w:r>
      <w:r>
        <w:rPr>
          <w:rFonts w:ascii="宋体" w:hAnsi="宋体" w:cs="宋体;SimSun"/>
          <w:bCs/>
          <w:color w:val="auto"/>
          <w:szCs w:val="21"/>
          <w:highlight w:val="none"/>
        </w:rPr>
        <w:t>17:</w:t>
      </w:r>
      <w:r>
        <w:rPr>
          <w:rFonts w:hint="eastAsia" w:ascii="宋体" w:hAnsi="宋体" w:cs="宋体;SimSun"/>
          <w:bCs/>
          <w:color w:val="auto"/>
          <w:szCs w:val="21"/>
          <w:highlight w:val="none"/>
        </w:rPr>
        <w:t>3</w:t>
      </w:r>
      <w:r>
        <w:rPr>
          <w:rFonts w:ascii="宋体" w:hAnsi="宋体" w:cs="宋体;SimSun"/>
          <w:bCs/>
          <w:color w:val="auto"/>
          <w:szCs w:val="21"/>
          <w:highlight w:val="none"/>
        </w:rPr>
        <w:t>0</w:t>
      </w:r>
      <w:r>
        <w:rPr>
          <w:rFonts w:hint="eastAsia" w:ascii="宋体" w:hAnsi="宋体" w:cs="宋体;SimSun"/>
          <w:bCs/>
          <w:color w:val="auto"/>
          <w:szCs w:val="21"/>
          <w:highlight w:val="none"/>
        </w:rPr>
        <w:t>（北京时间，法定节假日除外）；</w:t>
      </w:r>
    </w:p>
    <w:p w14:paraId="3562712B">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2.报名方式：网上报名或现场报名。采用现场报名方式的供应商请携带以下报名资料前往广西建标建设工程咨询有限责任公司（南宁市白沙大道1-6号白沙苑综合楼二楼招标部）进行报名，根据现场报名流程完成报名；采用网上报名方式的供应商请将报名资料盖章后扫描发送至邮箱：3967584824@qq.com，根据邮箱回复的流程完成报名。</w:t>
      </w:r>
    </w:p>
    <w:p w14:paraId="7FB8B2E5">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3.报名资料：</w:t>
      </w:r>
      <w:bookmarkStart w:id="16" w:name="OLE_LINK2"/>
      <w:r>
        <w:rPr>
          <w:rFonts w:hint="eastAsia" w:ascii="宋体" w:hAnsi="宋体" w:cs="宋体"/>
          <w:color w:val="auto"/>
          <w:szCs w:val="21"/>
          <w:highlight w:val="none"/>
        </w:rPr>
        <w:t xml:space="preserve"> (1)企业有效营业执照复印件；（2）法定代表人或委托代理人携带有效的二代身份证复印件；（3）非法定代表人提供法定代表人授权书原件</w:t>
      </w:r>
      <w:bookmarkEnd w:id="16"/>
      <w:r>
        <w:rPr>
          <w:rFonts w:hint="eastAsia" w:ascii="宋体" w:hAnsi="宋体" w:cs="宋体"/>
          <w:color w:val="auto"/>
          <w:szCs w:val="21"/>
          <w:highlight w:val="none"/>
        </w:rPr>
        <w:t>。复印件须加盖供应商公章。</w:t>
      </w:r>
    </w:p>
    <w:p w14:paraId="39CF40E9">
      <w:pPr>
        <w:spacing w:line="400" w:lineRule="exact"/>
        <w:ind w:right="-334" w:rightChars="-159" w:firstLine="210" w:firstLineChars="100"/>
        <w:rPr>
          <w:rFonts w:ascii="宋体" w:hAnsi="宋体" w:cs="宋体"/>
          <w:color w:val="auto"/>
          <w:szCs w:val="21"/>
          <w:highlight w:val="none"/>
        </w:rPr>
      </w:pPr>
      <w:r>
        <w:rPr>
          <w:rFonts w:hint="eastAsia" w:ascii="宋体" w:hAnsi="宋体" w:cs="宋体"/>
          <w:color w:val="auto"/>
          <w:szCs w:val="21"/>
          <w:highlight w:val="none"/>
        </w:rPr>
        <w:t>4.售价（元）：竞争性磋商</w:t>
      </w:r>
      <w:bookmarkStart w:id="17" w:name="OLE_LINK3"/>
      <w:r>
        <w:rPr>
          <w:rFonts w:hint="eastAsia" w:ascii="宋体" w:hAnsi="宋体" w:cs="宋体"/>
          <w:color w:val="auto"/>
          <w:szCs w:val="21"/>
          <w:highlight w:val="none"/>
        </w:rPr>
        <w:t>采购文件工本费</w:t>
      </w:r>
      <w:bookmarkEnd w:id="17"/>
      <w:r>
        <w:rPr>
          <w:rFonts w:hint="eastAsia" w:ascii="宋体" w:hAnsi="宋体" w:cs="宋体"/>
          <w:color w:val="auto"/>
          <w:szCs w:val="21"/>
          <w:highlight w:val="none"/>
        </w:rPr>
        <w:t>每本300元，售后不退。</w:t>
      </w:r>
    </w:p>
    <w:p w14:paraId="07D01B7E">
      <w:pPr>
        <w:spacing w:line="400" w:lineRule="exact"/>
        <w:ind w:left="-283" w:leftChars="-135" w:right="-334" w:rightChars="-159" w:firstLine="482" w:firstLineChars="200"/>
        <w:rPr>
          <w:rFonts w:ascii="宋体" w:hAnsi="宋体" w:cs="宋体"/>
          <w:b/>
          <w:bCs/>
          <w:color w:val="auto"/>
          <w:sz w:val="24"/>
          <w:highlight w:val="none"/>
        </w:rPr>
      </w:pPr>
      <w:bookmarkStart w:id="18" w:name="_Toc35393632"/>
      <w:bookmarkStart w:id="19" w:name="_Toc35393801"/>
      <w:bookmarkStart w:id="20" w:name="_Toc28359092"/>
      <w:bookmarkStart w:id="21" w:name="_Toc28359015"/>
      <w:r>
        <w:rPr>
          <w:rFonts w:hint="eastAsia" w:ascii="宋体" w:hAnsi="宋体" w:cs="宋体"/>
          <w:b/>
          <w:bCs/>
          <w:color w:val="auto"/>
          <w:sz w:val="24"/>
          <w:highlight w:val="none"/>
        </w:rPr>
        <w:t>四、响应文件提交</w:t>
      </w:r>
      <w:bookmarkEnd w:id="18"/>
      <w:bookmarkEnd w:id="19"/>
      <w:bookmarkEnd w:id="20"/>
      <w:bookmarkEnd w:id="21"/>
    </w:p>
    <w:p w14:paraId="4E198654">
      <w:pPr>
        <w:spacing w:line="400" w:lineRule="exact"/>
        <w:ind w:left="-283" w:leftChars="-135" w:right="-334" w:rightChars="-159" w:firstLine="420" w:firstLineChars="200"/>
        <w:rPr>
          <w:rFonts w:ascii="宋体" w:hAnsi="宋体" w:cs="宋体"/>
          <w:color w:val="auto"/>
          <w:szCs w:val="21"/>
          <w:highlight w:val="none"/>
        </w:rPr>
      </w:pPr>
      <w:r>
        <w:rPr>
          <w:rFonts w:hint="eastAsia" w:ascii="宋体" w:hAnsi="宋体" w:cs="宋体"/>
          <w:color w:val="auto"/>
          <w:szCs w:val="21"/>
          <w:highlight w:val="none"/>
        </w:rPr>
        <w:t>截止时间：</w:t>
      </w:r>
      <w:r>
        <w:rPr>
          <w:rFonts w:ascii="宋体" w:hAnsi="宋体" w:cs="宋体;SimSun"/>
          <w:bCs/>
          <w:color w:val="auto"/>
          <w:szCs w:val="21"/>
          <w:highlight w:val="none"/>
        </w:rPr>
        <w:t>20</w:t>
      </w:r>
      <w:r>
        <w:rPr>
          <w:rFonts w:hint="eastAsia" w:ascii="宋体" w:hAnsi="宋体" w:cs="宋体;SimSun"/>
          <w:bCs/>
          <w:color w:val="auto"/>
          <w:szCs w:val="21"/>
          <w:highlight w:val="none"/>
        </w:rPr>
        <w:t>25年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04</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s="宋体"/>
          <w:bCs/>
          <w:color w:val="auto"/>
          <w:szCs w:val="21"/>
          <w:highlight w:val="none"/>
        </w:rPr>
        <w:t>（北京时间）。</w:t>
      </w:r>
    </w:p>
    <w:p w14:paraId="52F2B13F">
      <w:pPr>
        <w:spacing w:line="400" w:lineRule="exact"/>
        <w:ind w:left="-283" w:leftChars="-135" w:right="-334" w:rightChars="-159" w:firstLine="420" w:firstLineChars="200"/>
        <w:rPr>
          <w:rFonts w:ascii="宋体" w:hAnsi="宋体" w:cs="宋体"/>
          <w:bCs/>
          <w:color w:val="auto"/>
          <w:szCs w:val="21"/>
          <w:highlight w:val="none"/>
        </w:rPr>
      </w:pPr>
      <w:r>
        <w:rPr>
          <w:rFonts w:hint="eastAsia" w:ascii="宋体" w:hAnsi="宋体" w:cs="宋体"/>
          <w:bCs/>
          <w:color w:val="auto"/>
          <w:szCs w:val="21"/>
          <w:highlight w:val="none"/>
        </w:rPr>
        <w:t>地点：广西建标建设工程咨询有限责任公司开标厅（南宁市白沙大道1-6号白沙苑综合楼二楼开标厅）。 </w:t>
      </w:r>
    </w:p>
    <w:p w14:paraId="58759119">
      <w:pPr>
        <w:spacing w:line="400" w:lineRule="exact"/>
        <w:ind w:left="-283" w:leftChars="-135" w:right="-334" w:rightChars="-159" w:firstLine="482" w:firstLineChars="200"/>
        <w:rPr>
          <w:rFonts w:ascii="宋体" w:hAnsi="宋体" w:cs="宋体"/>
          <w:color w:val="auto"/>
          <w:kern w:val="0"/>
          <w:szCs w:val="21"/>
          <w:highlight w:val="none"/>
        </w:rPr>
      </w:pPr>
      <w:bookmarkStart w:id="22" w:name="_Toc35393802"/>
      <w:bookmarkStart w:id="23" w:name="_Toc28359016"/>
      <w:bookmarkStart w:id="24" w:name="_Toc35393633"/>
      <w:bookmarkStart w:id="25" w:name="_Toc28359093"/>
      <w:r>
        <w:rPr>
          <w:rFonts w:hint="eastAsia" w:ascii="宋体" w:hAnsi="宋体" w:cs="宋体"/>
          <w:b/>
          <w:bCs/>
          <w:color w:val="auto"/>
          <w:sz w:val="24"/>
          <w:highlight w:val="none"/>
        </w:rPr>
        <w:t>五、磋商时间及地点：</w:t>
      </w:r>
      <w:r>
        <w:rPr>
          <w:rFonts w:ascii="宋体" w:hAnsi="宋体" w:cs="宋体;SimSun"/>
          <w:bCs/>
          <w:color w:val="auto"/>
          <w:szCs w:val="21"/>
          <w:highlight w:val="none"/>
        </w:rPr>
        <w:t>20</w:t>
      </w:r>
      <w:r>
        <w:rPr>
          <w:rFonts w:hint="eastAsia" w:ascii="宋体" w:hAnsi="宋体" w:cs="宋体;SimSun"/>
          <w:bCs/>
          <w:color w:val="auto"/>
          <w:szCs w:val="21"/>
          <w:highlight w:val="none"/>
        </w:rPr>
        <w:t>25年</w:t>
      </w:r>
      <w:r>
        <w:rPr>
          <w:rFonts w:hint="eastAsia" w:ascii="宋体" w:hAnsi="宋体" w:cs="宋体;SimSun"/>
          <w:bCs/>
          <w:color w:val="auto"/>
          <w:szCs w:val="21"/>
          <w:highlight w:val="none"/>
          <w:lang w:val="en-US" w:eastAsia="zh-CN"/>
        </w:rPr>
        <w:t>12</w:t>
      </w:r>
      <w:r>
        <w:rPr>
          <w:rFonts w:hint="eastAsia" w:ascii="宋体" w:hAnsi="宋体" w:cs="宋体;SimSun"/>
          <w:bCs/>
          <w:color w:val="auto"/>
          <w:szCs w:val="21"/>
          <w:highlight w:val="none"/>
        </w:rPr>
        <w:t>月</w:t>
      </w:r>
      <w:r>
        <w:rPr>
          <w:rFonts w:hint="eastAsia" w:ascii="宋体" w:hAnsi="宋体" w:cs="宋体;SimSun"/>
          <w:bCs/>
          <w:color w:val="auto"/>
          <w:szCs w:val="21"/>
          <w:highlight w:val="none"/>
          <w:lang w:val="en-US" w:eastAsia="zh-CN"/>
        </w:rPr>
        <w:t>04</w:t>
      </w:r>
      <w:r>
        <w:rPr>
          <w:rFonts w:hint="eastAsia" w:ascii="宋体" w:hAnsi="宋体" w:cs="宋体;SimSun"/>
          <w:bCs/>
          <w:color w:val="auto"/>
          <w:szCs w:val="21"/>
          <w:highlight w:val="none"/>
        </w:rPr>
        <w:t>日</w:t>
      </w:r>
      <w:r>
        <w:rPr>
          <w:rFonts w:hint="eastAsia" w:ascii="宋体" w:hAnsi="宋体" w:cs="宋体"/>
          <w:color w:val="auto"/>
          <w:szCs w:val="21"/>
          <w:highlight w:val="none"/>
          <w:lang w:val="en-US" w:eastAsia="zh-CN"/>
        </w:rPr>
        <w:t>09</w:t>
      </w:r>
      <w:r>
        <w:rPr>
          <w:rFonts w:hint="eastAsia" w:ascii="宋体" w:hAnsi="宋体" w:cs="宋体"/>
          <w:color w:val="auto"/>
          <w:szCs w:val="21"/>
          <w:highlight w:val="none"/>
        </w:rPr>
        <w:t>时</w:t>
      </w:r>
      <w:r>
        <w:rPr>
          <w:rFonts w:hint="eastAsia" w:ascii="宋体" w:hAnsi="宋体" w:cs="宋体"/>
          <w:color w:val="auto"/>
          <w:szCs w:val="21"/>
          <w:highlight w:val="none"/>
          <w:lang w:val="en-US" w:eastAsia="zh-CN"/>
        </w:rPr>
        <w:t>30</w:t>
      </w:r>
      <w:r>
        <w:rPr>
          <w:rFonts w:hint="eastAsia" w:ascii="宋体" w:hAnsi="宋体" w:cs="宋体"/>
          <w:color w:val="auto"/>
          <w:szCs w:val="21"/>
          <w:highlight w:val="none"/>
        </w:rPr>
        <w:t>分</w:t>
      </w:r>
      <w:r>
        <w:rPr>
          <w:rFonts w:hint="eastAsia" w:ascii="宋体" w:hAnsi="宋体"/>
          <w:color w:val="auto"/>
          <w:szCs w:val="21"/>
          <w:highlight w:val="none"/>
        </w:rPr>
        <w:t>整（北京时间）截标后为磋商时间，地点在 广西建标建设工程咨询有限责任公司开标厅（南宁市白沙大道1-6号白沙苑综合楼二楼开标厅），参加磋商的</w:t>
      </w:r>
      <w:r>
        <w:rPr>
          <w:rFonts w:hint="eastAsia"/>
          <w:color w:val="auto"/>
          <w:highlight w:val="none"/>
        </w:rPr>
        <w:t>为法定代表人或授权委托代理人必须持证件（法定代表人凭身份证原件及复印件或委托代理人凭法人授权委托书原件和身份证原件及复印件）</w:t>
      </w:r>
      <w:r>
        <w:rPr>
          <w:rFonts w:hint="eastAsia" w:ascii="宋体" w:hAnsi="宋体"/>
          <w:color w:val="auto"/>
          <w:szCs w:val="21"/>
          <w:highlight w:val="none"/>
        </w:rPr>
        <w:t>依时到达指定地点等候当面磋商。</w:t>
      </w:r>
      <w:r>
        <w:rPr>
          <w:rFonts w:hint="eastAsia"/>
          <w:color w:val="auto"/>
          <w:highlight w:val="none"/>
        </w:rPr>
        <w:t>【以上属复印件的必须加盖磋商供应商公章】</w:t>
      </w:r>
      <w:bookmarkEnd w:id="22"/>
      <w:bookmarkEnd w:id="23"/>
      <w:bookmarkEnd w:id="24"/>
      <w:bookmarkEnd w:id="25"/>
      <w:r>
        <w:rPr>
          <w:rFonts w:hint="eastAsia" w:ascii="宋体" w:hAnsi="宋体" w:cs="宋体"/>
          <w:color w:val="auto"/>
          <w:szCs w:val="21"/>
          <w:highlight w:val="none"/>
        </w:rPr>
        <w:t>。</w:t>
      </w:r>
    </w:p>
    <w:p w14:paraId="150970BF">
      <w:pPr>
        <w:spacing w:line="400" w:lineRule="exact"/>
        <w:ind w:left="-283" w:leftChars="-135" w:right="-334" w:rightChars="-159" w:firstLine="482" w:firstLineChars="200"/>
        <w:rPr>
          <w:rFonts w:ascii="宋体" w:hAnsi="宋体" w:cs="宋体"/>
          <w:b/>
          <w:bCs/>
          <w:color w:val="auto"/>
          <w:sz w:val="24"/>
          <w:highlight w:val="none"/>
        </w:rPr>
      </w:pPr>
      <w:bookmarkStart w:id="26" w:name="_Toc35393804"/>
      <w:bookmarkStart w:id="27" w:name="_Toc35393635"/>
      <w:r>
        <w:rPr>
          <w:rFonts w:hint="eastAsia" w:ascii="宋体" w:hAnsi="宋体" w:cs="宋体"/>
          <w:b/>
          <w:bCs/>
          <w:color w:val="auto"/>
          <w:sz w:val="24"/>
          <w:highlight w:val="none"/>
        </w:rPr>
        <w:t>六、其他补充事宜</w:t>
      </w:r>
      <w:bookmarkEnd w:id="26"/>
      <w:bookmarkEnd w:id="27"/>
    </w:p>
    <w:p w14:paraId="48C9E2F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1.网上查询：</w:t>
      </w:r>
      <w:r>
        <w:rPr>
          <w:rFonts w:hint="eastAsia" w:ascii="宋体" w:hAnsi="宋体" w:cs="宋体"/>
          <w:color w:val="auto"/>
          <w:szCs w:val="21"/>
          <w:highlight w:val="none"/>
          <w:lang w:val="zh-CN"/>
        </w:rPr>
        <w:t>中国采购与招标网</w:t>
      </w:r>
      <w:r>
        <w:rPr>
          <w:rFonts w:hint="eastAsia" w:ascii="宋体" w:hAnsi="宋体" w:cs="宋体"/>
          <w:color w:val="auto"/>
          <w:szCs w:val="21"/>
          <w:highlight w:val="none"/>
        </w:rPr>
        <w:t>www.chinabidding.com.cn</w:t>
      </w:r>
      <w:r>
        <w:rPr>
          <w:rFonts w:hint="eastAsia" w:ascii="宋体" w:hAnsi="宋体" w:cs="宋体"/>
          <w:color w:val="auto"/>
          <w:szCs w:val="21"/>
          <w:highlight w:val="none"/>
          <w:lang w:val="zh-CN"/>
        </w:rPr>
        <w:t>、广西建标建设工程咨询有限责</w:t>
      </w:r>
      <w:r>
        <w:rPr>
          <w:rFonts w:hint="eastAsia" w:ascii="宋体" w:hAnsi="宋体" w:cs="宋体"/>
          <w:color w:val="auto"/>
          <w:kern w:val="0"/>
          <w:szCs w:val="21"/>
          <w:highlight w:val="none"/>
          <w:lang w:val="zh-CN"/>
        </w:rPr>
        <w:t>任公司网站</w:t>
      </w:r>
      <w:r>
        <w:rPr>
          <w:rFonts w:hint="eastAsia" w:ascii="宋体" w:hAnsi="宋体" w:cs="宋体"/>
          <w:color w:val="auto"/>
          <w:kern w:val="0"/>
          <w:szCs w:val="21"/>
          <w:highlight w:val="none"/>
        </w:rPr>
        <w:t>：</w:t>
      </w:r>
      <w:r>
        <w:rPr>
          <w:color w:val="auto"/>
          <w:highlight w:val="none"/>
        </w:rPr>
        <w:fldChar w:fldCharType="begin"/>
      </w:r>
      <w:r>
        <w:rPr>
          <w:color w:val="auto"/>
          <w:highlight w:val="none"/>
        </w:rPr>
        <w:instrText xml:space="preserve"> HYPERLINK "http://www.gxjb.com.cn/。" </w:instrText>
      </w:r>
      <w:r>
        <w:rPr>
          <w:color w:val="auto"/>
          <w:highlight w:val="none"/>
        </w:rPr>
        <w:fldChar w:fldCharType="separate"/>
      </w:r>
      <w:r>
        <w:rPr>
          <w:rFonts w:hint="eastAsia" w:ascii="宋体" w:hAnsi="宋体" w:cs="宋体"/>
          <w:color w:val="auto"/>
          <w:kern w:val="0"/>
          <w:szCs w:val="21"/>
          <w:highlight w:val="none"/>
        </w:rPr>
        <w:t>http://www.gxjb.com.cn/。</w:t>
      </w:r>
      <w:r>
        <w:rPr>
          <w:rFonts w:hint="eastAsia" w:ascii="宋体" w:hAnsi="宋体" w:cs="宋体"/>
          <w:color w:val="auto"/>
          <w:kern w:val="0"/>
          <w:szCs w:val="21"/>
          <w:highlight w:val="none"/>
        </w:rPr>
        <w:fldChar w:fldCharType="end"/>
      </w:r>
    </w:p>
    <w:p w14:paraId="68F7C6A0">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项目需要落实的政府采购政策：政府采购促进中小企业发展；政府采购支持采用本国产品的政策；强制采购节能产品；优先采购节能产品、环境标志产品；政府采购促进残疾人就业政策；政府采购支持监狱企业发展；政府采购扶持不发达地区和少数民族地区等。</w:t>
      </w:r>
    </w:p>
    <w:p w14:paraId="5209700D">
      <w:pPr>
        <w:spacing w:line="400" w:lineRule="exact"/>
        <w:ind w:left="-283" w:leftChars="-135" w:right="-334" w:rightChars="-159" w:firstLine="482" w:firstLineChars="200"/>
        <w:rPr>
          <w:rFonts w:ascii="宋体" w:hAnsi="宋体" w:cs="宋体"/>
          <w:b/>
          <w:bCs/>
          <w:color w:val="auto"/>
          <w:sz w:val="24"/>
          <w:highlight w:val="none"/>
        </w:rPr>
      </w:pPr>
      <w:bookmarkStart w:id="28" w:name="_Toc35393805"/>
      <w:bookmarkStart w:id="29" w:name="_Toc35393636"/>
      <w:bookmarkStart w:id="30" w:name="_Toc28359018"/>
      <w:bookmarkStart w:id="31" w:name="_Toc28359095"/>
      <w:r>
        <w:rPr>
          <w:rFonts w:hint="eastAsia" w:ascii="宋体" w:hAnsi="宋体" w:cs="宋体"/>
          <w:b/>
          <w:bCs/>
          <w:color w:val="auto"/>
          <w:sz w:val="24"/>
          <w:highlight w:val="none"/>
        </w:rPr>
        <w:t>七、凡对本次采购提出询问，请按以下方式联系。</w:t>
      </w:r>
      <w:bookmarkEnd w:id="28"/>
      <w:bookmarkEnd w:id="29"/>
      <w:bookmarkEnd w:id="30"/>
      <w:bookmarkEnd w:id="31"/>
    </w:p>
    <w:p w14:paraId="6B858DE1">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1.采购人名称：广西壮族自治区工业和信息化厅</w:t>
      </w:r>
    </w:p>
    <w:p w14:paraId="4499B5FA">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地址：南宁市青秀区民族大道113号</w:t>
      </w:r>
    </w:p>
    <w:p w14:paraId="4951CE0E">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联系人：申立军     联系电话：0771-2182380</w:t>
      </w:r>
    </w:p>
    <w:p w14:paraId="2993E2D3">
      <w:pPr>
        <w:spacing w:line="400" w:lineRule="exact"/>
        <w:ind w:left="-283" w:leftChars="-135" w:right="-334" w:rightChars="-159"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2.采购代理机构名称：广西建标建设工程咨询有限责任公司</w:t>
      </w:r>
    </w:p>
    <w:p w14:paraId="43F55699">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地址：南宁市白沙大道1-6号白沙苑综合二楼203室</w:t>
      </w:r>
    </w:p>
    <w:p w14:paraId="2D22E26D">
      <w:pPr>
        <w:spacing w:line="400" w:lineRule="exact"/>
        <w:ind w:left="-283" w:leftChars="-135" w:right="-334" w:rightChars="-159" w:firstLine="630" w:firstLineChars="300"/>
        <w:rPr>
          <w:rFonts w:ascii="宋体" w:hAnsi="宋体" w:cs="宋体"/>
          <w:color w:val="auto"/>
          <w:kern w:val="0"/>
          <w:szCs w:val="21"/>
          <w:highlight w:val="none"/>
        </w:rPr>
      </w:pPr>
      <w:r>
        <w:rPr>
          <w:rFonts w:hint="eastAsia" w:ascii="宋体" w:hAnsi="宋体" w:cs="宋体"/>
          <w:color w:val="auto"/>
          <w:kern w:val="0"/>
          <w:szCs w:val="21"/>
          <w:highlight w:val="none"/>
        </w:rPr>
        <w:t xml:space="preserve">采购项目负责人姓名和电话：陈嘉强，0771-4923450/18697917197 </w:t>
      </w:r>
    </w:p>
    <w:p w14:paraId="78D9579B">
      <w:pPr>
        <w:pStyle w:val="52"/>
        <w:ind w:firstLine="200"/>
        <w:rPr>
          <w:color w:val="auto"/>
          <w:highlight w:val="none"/>
        </w:rPr>
      </w:pPr>
    </w:p>
    <w:p w14:paraId="793AD0BB">
      <w:pPr>
        <w:jc w:val="right"/>
        <w:outlineLvl w:val="0"/>
        <w:rPr>
          <w:rFonts w:ascii="宋体" w:hAnsi="宋体" w:cs="宋体"/>
          <w:color w:val="auto"/>
          <w:szCs w:val="21"/>
          <w:highlight w:val="none"/>
        </w:rPr>
      </w:pPr>
      <w:r>
        <w:rPr>
          <w:rFonts w:hint="eastAsia" w:ascii="宋体" w:hAnsi="宋体" w:cs="宋体"/>
          <w:color w:val="auto"/>
          <w:szCs w:val="21"/>
          <w:highlight w:val="none"/>
        </w:rPr>
        <w:t xml:space="preserve">   采购人：广西壮族自治区工业和信息化厅</w:t>
      </w:r>
    </w:p>
    <w:p w14:paraId="6C0999DC">
      <w:pPr>
        <w:jc w:val="right"/>
        <w:outlineLvl w:val="0"/>
        <w:rPr>
          <w:rFonts w:ascii="宋体" w:hAnsi="宋体" w:cs="宋体"/>
          <w:color w:val="auto"/>
          <w:szCs w:val="21"/>
          <w:highlight w:val="none"/>
        </w:rPr>
      </w:pPr>
    </w:p>
    <w:p w14:paraId="0FFF11B4">
      <w:pPr>
        <w:jc w:val="right"/>
        <w:outlineLvl w:val="0"/>
        <w:rPr>
          <w:rFonts w:ascii="宋体" w:hAnsi="宋体" w:cs="宋体"/>
          <w:color w:val="auto"/>
          <w:szCs w:val="21"/>
          <w:highlight w:val="none"/>
        </w:rPr>
      </w:pPr>
      <w:r>
        <w:rPr>
          <w:rFonts w:hint="eastAsia" w:ascii="宋体" w:hAnsi="宋体" w:cs="宋体"/>
          <w:color w:val="auto"/>
          <w:szCs w:val="21"/>
          <w:highlight w:val="none"/>
        </w:rPr>
        <w:t>采购代理机构：广西建标建设工程咨询有限责任公司</w:t>
      </w:r>
    </w:p>
    <w:p w14:paraId="0B6B8435">
      <w:pPr>
        <w:jc w:val="center"/>
        <w:outlineLvl w:val="0"/>
        <w:rPr>
          <w:b/>
          <w:color w:val="auto"/>
          <w:sz w:val="32"/>
          <w:szCs w:val="32"/>
          <w:highlight w:val="none"/>
        </w:rPr>
      </w:pPr>
      <w:r>
        <w:rPr>
          <w:rFonts w:hint="eastAsia" w:ascii="宋体" w:hAnsi="宋体" w:cs="宋体"/>
          <w:color w:val="auto"/>
          <w:szCs w:val="21"/>
          <w:highlight w:val="none"/>
        </w:rPr>
        <w:t xml:space="preserve">                                                           </w:t>
      </w:r>
      <w:r>
        <w:rPr>
          <w:rFonts w:hint="eastAsia"/>
          <w:color w:val="auto"/>
          <w:szCs w:val="21"/>
          <w:highlight w:val="none"/>
        </w:rPr>
        <w:t>2025年</w:t>
      </w:r>
      <w:r>
        <w:rPr>
          <w:rFonts w:hint="eastAsia"/>
          <w:color w:val="auto"/>
          <w:szCs w:val="21"/>
          <w:highlight w:val="none"/>
          <w:lang w:val="en-US" w:eastAsia="zh-CN"/>
        </w:rPr>
        <w:t>11</w:t>
      </w:r>
      <w:r>
        <w:rPr>
          <w:rFonts w:hint="eastAsia"/>
          <w:color w:val="auto"/>
          <w:szCs w:val="21"/>
          <w:highlight w:val="none"/>
        </w:rPr>
        <w:t>月</w:t>
      </w:r>
      <w:r>
        <w:rPr>
          <w:rFonts w:hint="eastAsia"/>
          <w:color w:val="auto"/>
          <w:szCs w:val="21"/>
          <w:highlight w:val="none"/>
          <w:lang w:val="en-US" w:eastAsia="zh-CN"/>
        </w:rPr>
        <w:t>21</w:t>
      </w:r>
      <w:r>
        <w:rPr>
          <w:rFonts w:hint="eastAsia"/>
          <w:color w:val="auto"/>
          <w:szCs w:val="21"/>
          <w:highlight w:val="none"/>
        </w:rPr>
        <w:t>日</w:t>
      </w:r>
    </w:p>
    <w:p w14:paraId="751458A8">
      <w:pPr>
        <w:rPr>
          <w:b/>
          <w:color w:val="auto"/>
          <w:sz w:val="32"/>
          <w:szCs w:val="32"/>
          <w:highlight w:val="none"/>
        </w:rPr>
      </w:pPr>
      <w:bookmarkStart w:id="32" w:name="_Toc4281"/>
      <w:r>
        <w:rPr>
          <w:rFonts w:hint="eastAsia"/>
          <w:b/>
          <w:color w:val="auto"/>
          <w:sz w:val="32"/>
          <w:szCs w:val="32"/>
          <w:highlight w:val="none"/>
        </w:rPr>
        <w:br w:type="page"/>
      </w:r>
    </w:p>
    <w:p w14:paraId="51BC3DBD">
      <w:pPr>
        <w:spacing w:line="240" w:lineRule="auto"/>
        <w:jc w:val="center"/>
        <w:outlineLvl w:val="0"/>
        <w:rPr>
          <w:b/>
          <w:color w:val="auto"/>
          <w:sz w:val="32"/>
          <w:szCs w:val="32"/>
          <w:highlight w:val="none"/>
        </w:rPr>
      </w:pPr>
      <w:r>
        <w:rPr>
          <w:rFonts w:hint="eastAsia"/>
          <w:b/>
          <w:color w:val="auto"/>
          <w:sz w:val="32"/>
          <w:szCs w:val="32"/>
          <w:highlight w:val="none"/>
        </w:rPr>
        <w:t>第二章 磋商须知</w:t>
      </w:r>
      <w:bookmarkEnd w:id="32"/>
    </w:p>
    <w:p w14:paraId="2C5AFE93">
      <w:pPr>
        <w:spacing w:line="400" w:lineRule="exact"/>
        <w:jc w:val="center"/>
        <w:rPr>
          <w:rFonts w:ascii="宋体" w:hAnsi="宋体"/>
          <w:b/>
          <w:color w:val="auto"/>
          <w:sz w:val="30"/>
          <w:szCs w:val="30"/>
          <w:highlight w:val="none"/>
        </w:rPr>
      </w:pPr>
    </w:p>
    <w:p w14:paraId="158C8E3C">
      <w:pPr>
        <w:spacing w:line="400" w:lineRule="exact"/>
        <w:jc w:val="center"/>
        <w:rPr>
          <w:rFonts w:ascii="宋体" w:hAnsi="宋体"/>
          <w:b/>
          <w:color w:val="auto"/>
          <w:sz w:val="30"/>
          <w:szCs w:val="30"/>
          <w:highlight w:val="none"/>
        </w:rPr>
      </w:pPr>
      <w:r>
        <w:rPr>
          <w:rFonts w:hint="eastAsia" w:ascii="宋体" w:hAnsi="宋体"/>
          <w:b/>
          <w:color w:val="auto"/>
          <w:sz w:val="30"/>
          <w:szCs w:val="30"/>
          <w:highlight w:val="none"/>
        </w:rPr>
        <w:t>供应商须知前附表</w:t>
      </w:r>
      <w:bookmarkStart w:id="33" w:name="_Hlt512352397"/>
      <w:bookmarkEnd w:id="33"/>
    </w:p>
    <w:p w14:paraId="3753652D">
      <w:pPr>
        <w:spacing w:line="400" w:lineRule="exact"/>
        <w:jc w:val="center"/>
        <w:rPr>
          <w:rFonts w:ascii="宋体" w:hAnsi="宋体"/>
          <w:b/>
          <w:color w:val="auto"/>
          <w:sz w:val="32"/>
          <w:szCs w:val="32"/>
          <w:highlight w:val="none"/>
        </w:rPr>
      </w:pPr>
    </w:p>
    <w:tbl>
      <w:tblPr>
        <w:tblStyle w:val="5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036"/>
        <w:gridCol w:w="7579"/>
      </w:tblGrid>
      <w:tr w14:paraId="7A136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7" w:hRule="atLeast"/>
          <w:jc w:val="center"/>
        </w:trPr>
        <w:tc>
          <w:tcPr>
            <w:tcW w:w="817" w:type="dxa"/>
            <w:vAlign w:val="center"/>
          </w:tcPr>
          <w:p w14:paraId="295FA7B9">
            <w:pPr>
              <w:spacing w:line="440" w:lineRule="exact"/>
              <w:jc w:val="center"/>
              <w:rPr>
                <w:rFonts w:ascii="宋体" w:hAnsi="宋体"/>
                <w:b/>
                <w:color w:val="auto"/>
                <w:szCs w:val="21"/>
                <w:highlight w:val="none"/>
              </w:rPr>
            </w:pPr>
            <w:r>
              <w:rPr>
                <w:rFonts w:hint="eastAsia" w:ascii="宋体" w:hAnsi="宋体"/>
                <w:b/>
                <w:color w:val="auto"/>
                <w:szCs w:val="21"/>
                <w:highlight w:val="none"/>
              </w:rPr>
              <w:t>序号</w:t>
            </w:r>
          </w:p>
        </w:tc>
        <w:tc>
          <w:tcPr>
            <w:tcW w:w="1036" w:type="dxa"/>
            <w:vAlign w:val="center"/>
          </w:tcPr>
          <w:p w14:paraId="671F509F">
            <w:pPr>
              <w:spacing w:line="440" w:lineRule="exact"/>
              <w:jc w:val="center"/>
              <w:rPr>
                <w:rFonts w:ascii="宋体" w:hAnsi="宋体"/>
                <w:b/>
                <w:color w:val="auto"/>
                <w:szCs w:val="21"/>
                <w:highlight w:val="none"/>
              </w:rPr>
            </w:pPr>
            <w:r>
              <w:rPr>
                <w:rFonts w:hint="eastAsia" w:ascii="宋体" w:hAnsi="宋体"/>
                <w:b/>
                <w:color w:val="auto"/>
                <w:szCs w:val="21"/>
                <w:highlight w:val="none"/>
              </w:rPr>
              <w:t>条款号</w:t>
            </w:r>
          </w:p>
        </w:tc>
        <w:tc>
          <w:tcPr>
            <w:tcW w:w="7579" w:type="dxa"/>
            <w:vAlign w:val="center"/>
          </w:tcPr>
          <w:p w14:paraId="08B657C9">
            <w:pPr>
              <w:spacing w:line="440" w:lineRule="exact"/>
              <w:jc w:val="center"/>
              <w:rPr>
                <w:rFonts w:ascii="宋体" w:hAnsi="宋体"/>
                <w:b/>
                <w:color w:val="auto"/>
                <w:szCs w:val="21"/>
                <w:highlight w:val="none"/>
              </w:rPr>
            </w:pPr>
            <w:r>
              <w:rPr>
                <w:rFonts w:hint="eastAsia" w:ascii="宋体" w:hAnsi="宋体"/>
                <w:b/>
                <w:color w:val="auto"/>
                <w:szCs w:val="21"/>
                <w:highlight w:val="none"/>
              </w:rPr>
              <w:t>内    容</w:t>
            </w:r>
          </w:p>
        </w:tc>
      </w:tr>
      <w:tr w14:paraId="3D8223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2437EBD">
            <w:pPr>
              <w:spacing w:line="440" w:lineRule="exact"/>
              <w:jc w:val="center"/>
              <w:rPr>
                <w:rFonts w:ascii="宋体" w:hAnsi="宋体"/>
                <w:color w:val="auto"/>
                <w:szCs w:val="21"/>
                <w:highlight w:val="none"/>
              </w:rPr>
            </w:pPr>
            <w:r>
              <w:rPr>
                <w:rFonts w:hint="eastAsia" w:ascii="宋体" w:hAnsi="宋体"/>
                <w:color w:val="auto"/>
                <w:szCs w:val="21"/>
                <w:highlight w:val="none"/>
              </w:rPr>
              <w:t>1</w:t>
            </w:r>
          </w:p>
        </w:tc>
        <w:tc>
          <w:tcPr>
            <w:tcW w:w="1036" w:type="dxa"/>
            <w:vAlign w:val="center"/>
          </w:tcPr>
          <w:p w14:paraId="509FBD75">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7579" w:type="dxa"/>
            <w:vAlign w:val="center"/>
          </w:tcPr>
          <w:p w14:paraId="3A466135">
            <w:pPr>
              <w:pStyle w:val="27"/>
              <w:spacing w:line="360" w:lineRule="exact"/>
              <w:rPr>
                <w:rFonts w:hint="eastAsia" w:hAnsi="宋体" w:eastAsia="宋体" w:cs="Courier New"/>
                <w:color w:val="auto"/>
                <w:sz w:val="21"/>
                <w:highlight w:val="none"/>
                <w:lang w:eastAsia="zh-CN"/>
              </w:rPr>
            </w:pPr>
            <w:r>
              <w:rPr>
                <w:rFonts w:hint="eastAsia" w:hAnsi="宋体"/>
                <w:color w:val="auto"/>
                <w:sz w:val="21"/>
                <w:highlight w:val="none"/>
              </w:rPr>
              <w:t>项目名称：</w:t>
            </w:r>
            <w:r>
              <w:rPr>
                <w:rFonts w:hint="eastAsia" w:hAnsi="宋体"/>
                <w:color w:val="auto"/>
                <w:sz w:val="21"/>
                <w:highlight w:val="none"/>
                <w:lang w:eastAsia="zh-CN"/>
              </w:rPr>
              <w:t>基于超短波监测管理一体化平台的基础平台符合性测试和互联互通测试服务</w:t>
            </w:r>
          </w:p>
          <w:p w14:paraId="4059DE9F">
            <w:pPr>
              <w:pStyle w:val="27"/>
              <w:spacing w:line="360" w:lineRule="exact"/>
              <w:rPr>
                <w:rFonts w:ascii="Calibri" w:hAnsi="宋体"/>
                <w:bCs/>
                <w:color w:val="auto"/>
                <w:highlight w:val="none"/>
              </w:rPr>
            </w:pPr>
            <w:r>
              <w:rPr>
                <w:rFonts w:hint="eastAsia" w:hAnsi="宋体" w:cs="Courier New"/>
                <w:color w:val="auto"/>
                <w:sz w:val="21"/>
                <w:highlight w:val="none"/>
              </w:rPr>
              <w:t>项目编号：</w:t>
            </w:r>
            <w:r>
              <w:rPr>
                <w:rFonts w:hint="eastAsia" w:hAnsi="宋体" w:cs="Courier New"/>
                <w:color w:val="auto"/>
                <w:sz w:val="21"/>
                <w:highlight w:val="none"/>
                <w:lang w:eastAsia="zh-CN"/>
              </w:rPr>
              <w:t>GXJBYF-ZB-2025-007</w:t>
            </w:r>
            <w:r>
              <w:rPr>
                <w:rFonts w:hint="eastAsia" w:hAnsi="宋体" w:cs="Courier New"/>
                <w:color w:val="auto"/>
                <w:sz w:val="21"/>
                <w:highlight w:val="none"/>
              </w:rPr>
              <w:t xml:space="preserve">   </w:t>
            </w:r>
          </w:p>
        </w:tc>
      </w:tr>
      <w:tr w14:paraId="32088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8" w:hRule="atLeast"/>
          <w:jc w:val="center"/>
        </w:trPr>
        <w:tc>
          <w:tcPr>
            <w:tcW w:w="817" w:type="dxa"/>
            <w:vAlign w:val="center"/>
          </w:tcPr>
          <w:p w14:paraId="68C58758">
            <w:pPr>
              <w:spacing w:line="440" w:lineRule="exact"/>
              <w:jc w:val="center"/>
              <w:rPr>
                <w:rFonts w:ascii="宋体" w:hAnsi="宋体"/>
                <w:color w:val="auto"/>
                <w:szCs w:val="21"/>
                <w:highlight w:val="none"/>
              </w:rPr>
            </w:pPr>
            <w:r>
              <w:rPr>
                <w:rFonts w:hint="eastAsia" w:ascii="宋体" w:hAnsi="宋体"/>
                <w:color w:val="auto"/>
                <w:szCs w:val="21"/>
                <w:highlight w:val="none"/>
              </w:rPr>
              <w:t>2</w:t>
            </w:r>
          </w:p>
        </w:tc>
        <w:tc>
          <w:tcPr>
            <w:tcW w:w="1036" w:type="dxa"/>
            <w:vAlign w:val="center"/>
          </w:tcPr>
          <w:p w14:paraId="4E44D607">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7579" w:type="dxa"/>
            <w:vAlign w:val="center"/>
          </w:tcPr>
          <w:p w14:paraId="2AEDA155">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供应商的基本条件：</w:t>
            </w:r>
          </w:p>
          <w:p w14:paraId="48F740D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1.满足《中华人民共和国政府采购法》第二十二条规定。</w:t>
            </w:r>
          </w:p>
          <w:p w14:paraId="1BAB243F">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2.落实政府采购政策需满足的资格要求：无</w:t>
            </w:r>
          </w:p>
          <w:p w14:paraId="67775931">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3.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235AE20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4.对在“信用中国”网站(www.creditchina.gov.cn) 、中国政府采购网（www.ccgp.gov.cn）上列入失信被执行人、重大税收违法案件当事人名单、政府采购严重违法失信行为记录名单，不得参与政府采购活动；以磋商阶段磋商小组查询的结果为准，当评标场所缺乏查询条件时，由采购人或招标代理机构进行查询并保证查询结果的真实性。</w:t>
            </w:r>
          </w:p>
          <w:p w14:paraId="0F33DD49">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5.根据《广西壮族自治区财政厅关于贯彻落实政府购买服务管理办法的通知》（桂财综[2020]45号），公益一类事业单位、使用事业编制且由财政拨款保障的群团组织，不允许为本项目采购活动的供应商。</w:t>
            </w:r>
          </w:p>
          <w:p w14:paraId="42425D05">
            <w:pPr>
              <w:spacing w:line="360" w:lineRule="auto"/>
              <w:ind w:firstLine="424" w:firstLineChars="202"/>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本项目</w:t>
            </w:r>
            <w:r>
              <w:rPr>
                <w:rFonts w:hint="eastAsia" w:ascii="宋体" w:hAnsi="宋体"/>
                <w:color w:val="auto"/>
                <w:szCs w:val="21"/>
                <w:highlight w:val="none"/>
              </w:rPr>
              <w:t>不</w:t>
            </w:r>
            <w:r>
              <w:rPr>
                <w:rFonts w:ascii="宋体" w:hAnsi="宋体"/>
                <w:color w:val="auto"/>
                <w:szCs w:val="21"/>
                <w:highlight w:val="none"/>
              </w:rPr>
              <w:t>接受联合体投标。</w:t>
            </w:r>
          </w:p>
        </w:tc>
      </w:tr>
      <w:tr w14:paraId="21AE4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0" w:hRule="atLeast"/>
          <w:jc w:val="center"/>
        </w:trPr>
        <w:tc>
          <w:tcPr>
            <w:tcW w:w="817" w:type="dxa"/>
            <w:vAlign w:val="center"/>
          </w:tcPr>
          <w:p w14:paraId="669410F2">
            <w:pPr>
              <w:spacing w:line="440" w:lineRule="exact"/>
              <w:jc w:val="center"/>
              <w:rPr>
                <w:rFonts w:ascii="宋体" w:hAnsi="宋体"/>
                <w:color w:val="auto"/>
                <w:szCs w:val="21"/>
                <w:highlight w:val="none"/>
              </w:rPr>
            </w:pPr>
            <w:r>
              <w:rPr>
                <w:rFonts w:hint="eastAsia" w:ascii="宋体" w:hAnsi="宋体"/>
                <w:color w:val="auto"/>
                <w:szCs w:val="21"/>
                <w:highlight w:val="none"/>
              </w:rPr>
              <w:t>3</w:t>
            </w:r>
          </w:p>
        </w:tc>
        <w:tc>
          <w:tcPr>
            <w:tcW w:w="1036" w:type="dxa"/>
            <w:vAlign w:val="center"/>
          </w:tcPr>
          <w:p w14:paraId="48577C4B">
            <w:pPr>
              <w:spacing w:line="440" w:lineRule="exact"/>
              <w:jc w:val="center"/>
              <w:rPr>
                <w:rFonts w:ascii="宋体" w:hAnsi="宋体"/>
                <w:color w:val="auto"/>
                <w:szCs w:val="21"/>
                <w:highlight w:val="none"/>
              </w:rPr>
            </w:pPr>
            <w:r>
              <w:rPr>
                <w:rFonts w:hint="eastAsia" w:ascii="宋体" w:hAnsi="宋体"/>
                <w:color w:val="auto"/>
                <w:szCs w:val="21"/>
                <w:highlight w:val="none"/>
              </w:rPr>
              <w:t>4.2</w:t>
            </w:r>
          </w:p>
        </w:tc>
        <w:tc>
          <w:tcPr>
            <w:tcW w:w="7579" w:type="dxa"/>
            <w:vAlign w:val="center"/>
          </w:tcPr>
          <w:p w14:paraId="397F0F4A">
            <w:pPr>
              <w:spacing w:line="440" w:lineRule="exact"/>
              <w:rPr>
                <w:rFonts w:ascii="宋体" w:hAnsi="宋体"/>
                <w:color w:val="auto"/>
                <w:szCs w:val="21"/>
                <w:highlight w:val="none"/>
              </w:rPr>
            </w:pPr>
            <w:r>
              <w:rPr>
                <w:rFonts w:hint="eastAsia" w:ascii="宋体" w:hAnsi="宋体"/>
                <w:color w:val="auto"/>
                <w:szCs w:val="21"/>
                <w:highlight w:val="none"/>
              </w:rPr>
              <w:t>代理服务费：</w:t>
            </w:r>
          </w:p>
          <w:p w14:paraId="2B339569">
            <w:pPr>
              <w:spacing w:line="440" w:lineRule="exact"/>
              <w:rPr>
                <w:rFonts w:ascii="Calibri" w:hAnsi="Calibri"/>
                <w:color w:val="auto"/>
                <w:highlight w:val="none"/>
              </w:rPr>
            </w:pPr>
            <w:r>
              <w:rPr>
                <w:rFonts w:hint="eastAsia" w:ascii="宋体" w:hAnsi="宋体" w:cs="宋体"/>
                <w:color w:val="auto"/>
                <w:szCs w:val="21"/>
                <w:highlight w:val="none"/>
              </w:rPr>
              <w:t>1.</w:t>
            </w:r>
            <w:r>
              <w:rPr>
                <w:rFonts w:hint="eastAsia" w:ascii="Calibri" w:hAnsi="Calibri"/>
                <w:color w:val="auto"/>
                <w:highlight w:val="none"/>
              </w:rPr>
              <w:t>招标代理服务费按成交金额的1.7%计取。</w:t>
            </w:r>
          </w:p>
          <w:p w14:paraId="001B06BE">
            <w:pPr>
              <w:spacing w:line="440" w:lineRule="exact"/>
              <w:rPr>
                <w:rFonts w:ascii="宋体" w:hAnsi="宋体"/>
                <w:color w:val="auto"/>
                <w:szCs w:val="21"/>
                <w:highlight w:val="none"/>
              </w:rPr>
            </w:pPr>
            <w:r>
              <w:rPr>
                <w:rFonts w:hint="eastAsia" w:ascii="宋体" w:hAnsi="宋体" w:cs="宋体"/>
                <w:color w:val="auto"/>
                <w:szCs w:val="21"/>
                <w:highlight w:val="none"/>
              </w:rPr>
              <w:t>2.</w:t>
            </w:r>
            <w:r>
              <w:rPr>
                <w:rFonts w:hint="eastAsia" w:ascii="Calibri" w:hAnsi="Calibri"/>
                <w:color w:val="auto"/>
                <w:highlight w:val="none"/>
              </w:rPr>
              <w:t>由成交供应商在领取成交通知书时一次性向采购代理机构付清。</w:t>
            </w:r>
          </w:p>
        </w:tc>
      </w:tr>
      <w:tr w14:paraId="118CC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817" w:type="dxa"/>
            <w:vAlign w:val="center"/>
          </w:tcPr>
          <w:p w14:paraId="2B2EA779">
            <w:pPr>
              <w:spacing w:line="440" w:lineRule="exact"/>
              <w:jc w:val="center"/>
              <w:rPr>
                <w:rFonts w:ascii="宋体" w:hAnsi="宋体"/>
                <w:color w:val="auto"/>
                <w:szCs w:val="21"/>
                <w:highlight w:val="none"/>
              </w:rPr>
            </w:pPr>
            <w:r>
              <w:rPr>
                <w:rFonts w:hint="eastAsia" w:ascii="宋体" w:hAnsi="宋体"/>
                <w:color w:val="auto"/>
                <w:szCs w:val="21"/>
                <w:highlight w:val="none"/>
              </w:rPr>
              <w:t>4</w:t>
            </w:r>
          </w:p>
        </w:tc>
        <w:tc>
          <w:tcPr>
            <w:tcW w:w="1036" w:type="dxa"/>
            <w:vAlign w:val="center"/>
          </w:tcPr>
          <w:p w14:paraId="46C00A6E">
            <w:pPr>
              <w:spacing w:line="440" w:lineRule="exact"/>
              <w:jc w:val="center"/>
              <w:rPr>
                <w:rFonts w:ascii="宋体" w:hAnsi="宋体"/>
                <w:color w:val="auto"/>
                <w:szCs w:val="21"/>
                <w:highlight w:val="none"/>
              </w:rPr>
            </w:pPr>
            <w:r>
              <w:rPr>
                <w:rFonts w:hint="eastAsia" w:ascii="宋体" w:hAnsi="宋体"/>
                <w:color w:val="auto"/>
                <w:szCs w:val="21"/>
                <w:highlight w:val="none"/>
              </w:rPr>
              <w:t>6.6.1</w:t>
            </w:r>
          </w:p>
        </w:tc>
        <w:tc>
          <w:tcPr>
            <w:tcW w:w="7579" w:type="dxa"/>
            <w:vAlign w:val="center"/>
          </w:tcPr>
          <w:p w14:paraId="15EA1FF1">
            <w:pPr>
              <w:spacing w:line="440" w:lineRule="exact"/>
              <w:rPr>
                <w:rFonts w:ascii="宋体" w:hAnsi="宋体" w:cs="宋体;SimSun"/>
                <w:color w:val="auto"/>
                <w:szCs w:val="21"/>
                <w:highlight w:val="none"/>
              </w:rPr>
            </w:pPr>
            <w:r>
              <w:rPr>
                <w:rFonts w:hint="eastAsia" w:ascii="Calibri" w:hAnsi="Calibri"/>
                <w:color w:val="auto"/>
                <w:highlight w:val="none"/>
              </w:rPr>
              <w:t>报价文件</w:t>
            </w:r>
            <w:r>
              <w:rPr>
                <w:rFonts w:hint="eastAsia" w:ascii="宋体" w:hAnsi="宋体" w:cs="宋体;SimSun"/>
                <w:color w:val="auto"/>
                <w:szCs w:val="21"/>
                <w:highlight w:val="none"/>
              </w:rPr>
              <w:t>，包括：</w:t>
            </w:r>
          </w:p>
          <w:p w14:paraId="6B16E69B">
            <w:pPr>
              <w:spacing w:line="440" w:lineRule="exact"/>
              <w:ind w:firstLine="200" w:firstLineChars="100"/>
              <w:rPr>
                <w:rFonts w:ascii="Calibri" w:hAnsi="Calibri"/>
                <w:color w:val="auto"/>
                <w:highlight w:val="none"/>
              </w:rPr>
            </w:pPr>
            <w:r>
              <w:rPr>
                <w:rFonts w:hint="eastAsia" w:ascii="宋体" w:hAnsi="Courier New"/>
                <w:color w:val="auto"/>
                <w:kern w:val="0"/>
                <w:sz w:val="20"/>
                <w:szCs w:val="21"/>
                <w:highlight w:val="none"/>
              </w:rPr>
              <w:t>（1）</w:t>
            </w:r>
            <w:r>
              <w:rPr>
                <w:rFonts w:hint="eastAsia" w:ascii="Calibri" w:hAnsi="Calibri"/>
                <w:color w:val="auto"/>
                <w:highlight w:val="none"/>
              </w:rPr>
              <w:t>磋商函及竞标声明函：按第五章“响应文件格式”提供的 “磋商函及竞标声明函（格式）”的要求填写；</w:t>
            </w:r>
          </w:p>
          <w:p w14:paraId="62443794">
            <w:pPr>
              <w:spacing w:line="440" w:lineRule="exact"/>
              <w:ind w:firstLine="210" w:firstLineChars="100"/>
              <w:rPr>
                <w:rFonts w:ascii="宋体" w:hAnsi="Courier New"/>
                <w:color w:val="auto"/>
                <w:kern w:val="0"/>
                <w:szCs w:val="21"/>
                <w:highlight w:val="none"/>
              </w:rPr>
            </w:pPr>
            <w:r>
              <w:rPr>
                <w:rFonts w:hint="eastAsia" w:ascii="宋体" w:hAnsi="Courier New"/>
                <w:color w:val="auto"/>
                <w:kern w:val="0"/>
                <w:szCs w:val="21"/>
                <w:highlight w:val="none"/>
              </w:rPr>
              <w:t>（2）竞标报价表：按第五章“响应文件格式”提供的“ 竞标报价表（格式）”的要求填写；</w:t>
            </w:r>
          </w:p>
          <w:p w14:paraId="7B05B099">
            <w:pPr>
              <w:spacing w:line="440" w:lineRule="exact"/>
              <w:ind w:firstLine="210" w:firstLineChars="100"/>
              <w:rPr>
                <w:rFonts w:ascii="宋体" w:hAnsi="Courier New"/>
                <w:color w:val="auto"/>
                <w:kern w:val="0"/>
                <w:szCs w:val="21"/>
                <w:highlight w:val="none"/>
              </w:rPr>
            </w:pPr>
            <w:r>
              <w:rPr>
                <w:rFonts w:hint="eastAsia"/>
                <w:color w:val="auto"/>
                <w:highlight w:val="none"/>
              </w:rPr>
              <w:t>（3）中小企业声明函或</w:t>
            </w:r>
            <w:r>
              <w:rPr>
                <w:rFonts w:hint="eastAsia" w:ascii="Calibri" w:hAnsi="Calibri"/>
                <w:color w:val="auto"/>
                <w:highlight w:val="none"/>
              </w:rPr>
              <w:t>残疾人福利性单位声明函或监狱企业证明</w:t>
            </w:r>
            <w:r>
              <w:rPr>
                <w:rFonts w:hint="eastAsia"/>
                <w:color w:val="auto"/>
                <w:highlight w:val="none"/>
              </w:rPr>
              <w:t>：按第五章“响应文件格式”提供的“中小企业声明函（格式）”、</w:t>
            </w:r>
            <w:r>
              <w:rPr>
                <w:rFonts w:hint="eastAsia" w:ascii="Calibri" w:hAnsi="Calibri"/>
                <w:color w:val="auto"/>
                <w:highlight w:val="none"/>
              </w:rPr>
              <w:t>“ 残疾人福利性单位声明函（格式）”</w:t>
            </w:r>
            <w:r>
              <w:rPr>
                <w:rFonts w:hint="eastAsia"/>
                <w:color w:val="auto"/>
                <w:highlight w:val="none"/>
              </w:rPr>
              <w:t>的要求填写，</w:t>
            </w:r>
            <w:r>
              <w:rPr>
                <w:rFonts w:hint="eastAsia" w:ascii="Calibri" w:hAnsi="Calibri"/>
                <w:color w:val="auto"/>
                <w:highlight w:val="none"/>
              </w:rPr>
              <w:t>监狱企业由省级以上监狱管理局、戒毒管理局（含新疆生产建设兵团）出具的属于监狱企业的证明文件</w:t>
            </w:r>
            <w:r>
              <w:rPr>
                <w:rFonts w:hint="eastAsia"/>
                <w:color w:val="auto"/>
                <w:highlight w:val="none"/>
              </w:rPr>
              <w:t>；</w:t>
            </w:r>
          </w:p>
          <w:p w14:paraId="398BA53E">
            <w:pPr>
              <w:spacing w:line="440" w:lineRule="exact"/>
              <w:rPr>
                <w:color w:val="auto"/>
                <w:highlight w:val="none"/>
              </w:rPr>
            </w:pPr>
            <w:r>
              <w:rPr>
                <w:rFonts w:hint="eastAsia" w:ascii="宋体" w:hAnsi="宋体" w:cs="宋体;SimSun"/>
                <w:b/>
                <w:bCs/>
                <w:color w:val="auto"/>
                <w:szCs w:val="21"/>
                <w:highlight w:val="none"/>
              </w:rPr>
              <w:t>报价文件中的第（1）～（2）项必须提交；第（3）项如有请提交。</w:t>
            </w:r>
          </w:p>
        </w:tc>
      </w:tr>
      <w:tr w14:paraId="26CD0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56D89FC">
            <w:pPr>
              <w:spacing w:line="440" w:lineRule="exact"/>
              <w:jc w:val="center"/>
              <w:rPr>
                <w:rFonts w:ascii="宋体" w:hAnsi="宋体"/>
                <w:color w:val="auto"/>
                <w:szCs w:val="21"/>
                <w:highlight w:val="none"/>
              </w:rPr>
            </w:pPr>
            <w:r>
              <w:rPr>
                <w:rFonts w:hint="eastAsia" w:ascii="宋体" w:hAnsi="宋体"/>
                <w:color w:val="auto"/>
                <w:szCs w:val="21"/>
                <w:highlight w:val="none"/>
              </w:rPr>
              <w:t>5</w:t>
            </w:r>
          </w:p>
        </w:tc>
        <w:tc>
          <w:tcPr>
            <w:tcW w:w="1036" w:type="dxa"/>
            <w:vAlign w:val="center"/>
          </w:tcPr>
          <w:p w14:paraId="79BF9591">
            <w:pPr>
              <w:spacing w:line="440" w:lineRule="exact"/>
              <w:jc w:val="center"/>
              <w:rPr>
                <w:rFonts w:ascii="宋体" w:hAnsi="宋体"/>
                <w:color w:val="auto"/>
                <w:szCs w:val="21"/>
                <w:highlight w:val="none"/>
              </w:rPr>
            </w:pPr>
            <w:r>
              <w:rPr>
                <w:rFonts w:hint="eastAsia" w:ascii="宋体" w:hAnsi="宋体"/>
                <w:color w:val="auto"/>
                <w:szCs w:val="21"/>
                <w:highlight w:val="none"/>
              </w:rPr>
              <w:t>6.6.2</w:t>
            </w:r>
          </w:p>
        </w:tc>
        <w:tc>
          <w:tcPr>
            <w:tcW w:w="7579" w:type="dxa"/>
            <w:vAlign w:val="center"/>
          </w:tcPr>
          <w:p w14:paraId="741899DA">
            <w:pPr>
              <w:spacing w:line="440" w:lineRule="exact"/>
              <w:rPr>
                <w:rFonts w:ascii="宋体" w:hAnsi="宋体" w:cs="宋体;SimSun"/>
                <w:color w:val="auto"/>
                <w:szCs w:val="21"/>
                <w:highlight w:val="none"/>
              </w:rPr>
            </w:pPr>
            <w:r>
              <w:rPr>
                <w:rFonts w:hint="eastAsia" w:ascii="宋体" w:hAnsi="宋体" w:cs="宋体;SimSun"/>
                <w:color w:val="auto"/>
                <w:szCs w:val="21"/>
                <w:highlight w:val="none"/>
              </w:rPr>
              <w:t>1.技术文件，包括：</w:t>
            </w:r>
          </w:p>
          <w:p w14:paraId="6FBE5E98">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（1）技术偏离表：按第五章“响应文件格式”提供的“技术偏离表（格式）”的要求填写；</w:t>
            </w:r>
          </w:p>
          <w:p w14:paraId="7D323B1C">
            <w:pPr>
              <w:tabs>
                <w:tab w:val="left" w:pos="6930"/>
              </w:tabs>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（2）</w:t>
            </w:r>
            <w:r>
              <w:rPr>
                <w:rFonts w:hint="eastAsia" w:ascii="宋体" w:hAnsi="宋体" w:cs="宋体;SimSun"/>
                <w:color w:val="auto"/>
                <w:szCs w:val="21"/>
                <w:highlight w:val="none"/>
                <w:lang w:val="en-US" w:eastAsia="zh-CN"/>
              </w:rPr>
              <w:t>实施方案</w:t>
            </w:r>
            <w:r>
              <w:rPr>
                <w:rFonts w:hint="eastAsia" w:ascii="宋体" w:hAnsi="宋体" w:cs="宋体;SimSun"/>
                <w:color w:val="auto"/>
                <w:szCs w:val="21"/>
                <w:highlight w:val="none"/>
              </w:rPr>
              <w:t>、质量控制方案、实时服务承诺</w:t>
            </w:r>
            <w:r>
              <w:rPr>
                <w:rFonts w:hint="eastAsia" w:ascii="宋体" w:hAnsi="宋体" w:cs="宋体;SimSun"/>
                <w:color w:val="auto"/>
                <w:szCs w:val="21"/>
                <w:highlight w:val="none"/>
                <w:lang w:eastAsia="zh-CN"/>
              </w:rPr>
              <w:t>、</w:t>
            </w:r>
            <w:r>
              <w:rPr>
                <w:rFonts w:hint="eastAsia" w:ascii="宋体" w:hAnsi="宋体" w:cs="宋体;SimSun"/>
                <w:color w:val="auto"/>
                <w:szCs w:val="21"/>
                <w:highlight w:val="none"/>
              </w:rPr>
              <w:t>拟投入项目服务人员等。</w:t>
            </w:r>
          </w:p>
          <w:p w14:paraId="231325FF">
            <w:pPr>
              <w:spacing w:line="440" w:lineRule="exact"/>
              <w:ind w:firstLine="210" w:firstLineChars="100"/>
              <w:rPr>
                <w:rFonts w:ascii="宋体" w:hAnsi="宋体" w:cs="宋体;SimSun"/>
                <w:color w:val="auto"/>
                <w:szCs w:val="21"/>
                <w:highlight w:val="none"/>
              </w:rPr>
            </w:pPr>
            <w:r>
              <w:rPr>
                <w:rFonts w:hint="eastAsia" w:ascii="宋体" w:hAnsi="宋体" w:cs="宋体;SimSun"/>
                <w:color w:val="auto"/>
                <w:szCs w:val="21"/>
                <w:highlight w:val="none"/>
              </w:rPr>
              <w:t>（3）其它：竞标人需要说明的其他文件，等等。</w:t>
            </w:r>
          </w:p>
          <w:p w14:paraId="1B5BF065">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技术文件中的第（1）项必须提交；第（2）～（3）项如有请提交。</w:t>
            </w:r>
          </w:p>
          <w:p w14:paraId="169305E5">
            <w:pPr>
              <w:pStyle w:val="27"/>
              <w:spacing w:line="400" w:lineRule="exact"/>
              <w:rPr>
                <w:rFonts w:hAnsi="宋体" w:cs="宋体;SimSun"/>
                <w:color w:val="auto"/>
                <w:kern w:val="2"/>
                <w:sz w:val="21"/>
                <w:highlight w:val="none"/>
              </w:rPr>
            </w:pPr>
            <w:r>
              <w:rPr>
                <w:rFonts w:hint="eastAsia" w:hAnsi="宋体" w:cs="宋体;SimSun"/>
                <w:color w:val="auto"/>
                <w:kern w:val="2"/>
                <w:sz w:val="21"/>
                <w:highlight w:val="none"/>
              </w:rPr>
              <w:t>2.商务文件，包括：</w:t>
            </w:r>
            <w:r>
              <w:rPr>
                <w:rFonts w:hAnsi="宋体" w:cs="宋体;SimSun"/>
                <w:color w:val="auto"/>
                <w:kern w:val="2"/>
                <w:sz w:val="21"/>
                <w:highlight w:val="none"/>
              </w:rPr>
              <w:t xml:space="preserve"> </w:t>
            </w:r>
          </w:p>
          <w:p w14:paraId="10D13B30">
            <w:pPr>
              <w:pStyle w:val="27"/>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1</w:t>
            </w:r>
            <w:r>
              <w:rPr>
                <w:rFonts w:hint="eastAsia" w:hAnsi="宋体" w:cs="宋体;SimSun"/>
                <w:color w:val="auto"/>
                <w:kern w:val="2"/>
                <w:sz w:val="21"/>
                <w:highlight w:val="none"/>
              </w:rPr>
              <w:t>）竞标人资格文件：</w:t>
            </w:r>
          </w:p>
          <w:p w14:paraId="0993C089">
            <w:pPr>
              <w:snapToGrid w:val="0"/>
              <w:spacing w:line="400" w:lineRule="exact"/>
              <w:ind w:firstLine="315" w:firstLineChars="150"/>
              <w:rPr>
                <w:rFonts w:ascii="宋体" w:hAnsi="宋体" w:cs="宋体;SimSun"/>
                <w:color w:val="auto"/>
                <w:szCs w:val="21"/>
                <w:highlight w:val="none"/>
              </w:rPr>
            </w:pPr>
            <w:r>
              <w:rPr>
                <w:rFonts w:hint="eastAsia" w:ascii="宋体" w:hAnsi="宋体" w:cs="宋体;SimSun"/>
                <w:color w:val="auto"/>
                <w:szCs w:val="21"/>
                <w:highlight w:val="none"/>
              </w:rPr>
              <w:t>①信用声明函。按第五章“响应文件格式”提供的“信用声明函（格式）”的要求填写。对列入失信被执行人、重大税收违法案件当事人名单、政府采购严重违法失信行为记录名单的竞标人，将被拒绝参与本项目政府采购活动。</w:t>
            </w:r>
          </w:p>
          <w:p w14:paraId="14BB7C43">
            <w:pPr>
              <w:pStyle w:val="27"/>
              <w:spacing w:line="400" w:lineRule="exact"/>
              <w:ind w:firstLine="420"/>
              <w:rPr>
                <w:rFonts w:hAnsi="宋体" w:cs="宋体;SimSun"/>
                <w:color w:val="auto"/>
                <w:kern w:val="2"/>
                <w:sz w:val="21"/>
                <w:highlight w:val="none"/>
              </w:rPr>
            </w:pPr>
            <w:r>
              <w:rPr>
                <w:rFonts w:hint="eastAsia" w:hAnsi="宋体" w:cs="宋体;SimSun"/>
                <w:color w:val="auto"/>
                <w:kern w:val="2"/>
                <w:sz w:val="21"/>
                <w:highlight w:val="none"/>
              </w:rPr>
              <w:t>②</w:t>
            </w:r>
            <w:r>
              <w:rPr>
                <w:rStyle w:val="172"/>
                <w:rFonts w:hint="eastAsia" w:ascii="宋体" w:hAnsi="宋体" w:cs="宋体"/>
                <w:color w:val="auto"/>
                <w:sz w:val="21"/>
                <w:highlight w:val="none"/>
              </w:rPr>
              <w:t>竞标人的营业执照复印件</w:t>
            </w:r>
            <w:r>
              <w:rPr>
                <w:rFonts w:hint="eastAsia" w:hAnsi="宋体" w:cs="宋体;SimSun"/>
                <w:color w:val="auto"/>
                <w:kern w:val="2"/>
                <w:sz w:val="21"/>
                <w:highlight w:val="none"/>
              </w:rPr>
              <w:t>或事业单位法人证复印件（竞标人如为企业的，要求证件有效并清晰反映企业法人和经营范围）；</w:t>
            </w:r>
          </w:p>
          <w:p w14:paraId="362191B3">
            <w:pPr>
              <w:pStyle w:val="27"/>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2</w:t>
            </w:r>
            <w:r>
              <w:rPr>
                <w:rFonts w:hint="eastAsia" w:hAnsi="宋体" w:cs="宋体;SimSun"/>
                <w:color w:val="auto"/>
                <w:kern w:val="2"/>
                <w:sz w:val="21"/>
                <w:highlight w:val="none"/>
              </w:rPr>
              <w:t>）法定代表人身份证明复印件：如使用第二代身份证应提交正、反面复印件，如法定代表人非中国国籍应提交护照复印件，要求证件有效并与营业执照或事业单位法人证书中的法定代表人相符；</w:t>
            </w:r>
            <w:r>
              <w:rPr>
                <w:rFonts w:hAnsi="宋体" w:cs="宋体;SimSun"/>
                <w:color w:val="auto"/>
                <w:kern w:val="2"/>
                <w:sz w:val="21"/>
                <w:highlight w:val="none"/>
              </w:rPr>
              <w:t xml:space="preserve"> </w:t>
            </w:r>
          </w:p>
          <w:p w14:paraId="2142881E">
            <w:pPr>
              <w:pStyle w:val="27"/>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（3）法定代表人身份证明书；按第五章“响应文件格式”提供的“法定代表人身份证明书（格式）” 的要求填写；</w:t>
            </w:r>
          </w:p>
          <w:p w14:paraId="59D8172D">
            <w:pPr>
              <w:pStyle w:val="27"/>
              <w:spacing w:line="400" w:lineRule="exact"/>
              <w:ind w:firstLine="210" w:firstLineChars="10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4</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月至竞标截止前）内连续三个月依法缴纳税收（国税或地税）的凭证复印件（如税务机关开具的完税证、银行缴税付款凭证或缴款回单等，如为非税务机关开具的凭证或回单的，应清晰反映：付款人名称、账号，征收机关名称，缴款金额，税种名称，所属时期等内容）。无纳税记录的，应提供由竞标人所在地主管国税或地税部门出具的依法纳税或依法免税证明（复印件，格式自拟，原件备查）；</w:t>
            </w:r>
          </w:p>
          <w:p w14:paraId="1E267E80">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5</w:t>
            </w:r>
            <w:r>
              <w:rPr>
                <w:rFonts w:hint="eastAsia" w:hAnsi="宋体" w:cs="宋体;SimSun"/>
                <w:color w:val="auto"/>
                <w:kern w:val="2"/>
                <w:sz w:val="21"/>
                <w:highlight w:val="none"/>
              </w:rPr>
              <w:t>）竞标人最近半年（202</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年</w:t>
            </w:r>
            <w:r>
              <w:rPr>
                <w:rFonts w:hint="eastAsia" w:hAnsi="宋体" w:cs="宋体;SimSun"/>
                <w:color w:val="auto"/>
                <w:kern w:val="2"/>
                <w:sz w:val="21"/>
                <w:highlight w:val="none"/>
                <w:lang w:val="en-US" w:eastAsia="zh-CN"/>
              </w:rPr>
              <w:t>5</w:t>
            </w:r>
            <w:r>
              <w:rPr>
                <w:rFonts w:hint="eastAsia" w:hAnsi="宋体" w:cs="宋体;SimSun"/>
                <w:color w:val="auto"/>
                <w:kern w:val="2"/>
                <w:sz w:val="21"/>
                <w:highlight w:val="none"/>
              </w:rPr>
              <w:t>月至竞标截止前）内连续三个月依法缴纳社会保障资金的凭证复印件（如社保部门开具的证明、收款收据等，或银行缴款凭证、回单等，如为非社保部门开具的凭证或回单的，应清晰反映：缴款单位名称、社保单位名称、保险名称、缴款金额等内容）。无缴费记录的，应提供磋商供应商所在地社保部门出具的《依法缴纳或依法免缴社保费证明》（复印件，格式自拟，原件备查）；</w:t>
            </w:r>
          </w:p>
          <w:p w14:paraId="018810A8">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w:t>
            </w:r>
            <w:r>
              <w:rPr>
                <w:rFonts w:hAnsi="宋体" w:cs="宋体;SimSun"/>
                <w:color w:val="auto"/>
                <w:kern w:val="2"/>
                <w:sz w:val="21"/>
                <w:highlight w:val="none"/>
              </w:rPr>
              <w:t>6</w:t>
            </w:r>
            <w:r>
              <w:rPr>
                <w:rFonts w:hint="eastAsia" w:hAnsi="宋体" w:cs="宋体;SimSun"/>
                <w:color w:val="auto"/>
                <w:kern w:val="2"/>
                <w:sz w:val="21"/>
                <w:highlight w:val="none"/>
              </w:rPr>
              <w:t>）商务条款偏离表：按第五章“响应文件格式”提供的“商务条款偏离表（格式）”</w:t>
            </w:r>
            <w:r>
              <w:rPr>
                <w:rFonts w:hAnsi="宋体" w:cs="宋体;SimSun"/>
                <w:color w:val="auto"/>
                <w:kern w:val="2"/>
                <w:sz w:val="21"/>
                <w:highlight w:val="none"/>
              </w:rPr>
              <w:t xml:space="preserve"> </w:t>
            </w:r>
            <w:r>
              <w:rPr>
                <w:rFonts w:hint="eastAsia" w:hAnsi="宋体" w:cs="宋体;SimSun"/>
                <w:color w:val="auto"/>
                <w:kern w:val="2"/>
                <w:sz w:val="21"/>
                <w:highlight w:val="none"/>
              </w:rPr>
              <w:t>的要求填写；</w:t>
            </w:r>
          </w:p>
          <w:p w14:paraId="56AF55F9">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（7）供应商直接控股股东信息表及供应商直接管理关系信息表：按第五章“响应文件格式”提供的“供应商直接控股股东信息表（格式）、供应商直接管理关系信息表（格式）”的要求填写</w:t>
            </w:r>
          </w:p>
          <w:p w14:paraId="2CA2AEBD">
            <w:pPr>
              <w:pStyle w:val="27"/>
              <w:spacing w:line="400" w:lineRule="exact"/>
              <w:ind w:firstLine="315" w:firstLineChars="150"/>
              <w:rPr>
                <w:color w:val="auto"/>
                <w:sz w:val="21"/>
                <w:highlight w:val="none"/>
              </w:rPr>
            </w:pPr>
            <w:r>
              <w:rPr>
                <w:rFonts w:hint="eastAsia" w:hAnsi="宋体" w:cs="宋体;SimSun"/>
                <w:color w:val="auto"/>
                <w:kern w:val="2"/>
                <w:sz w:val="21"/>
                <w:highlight w:val="none"/>
              </w:rPr>
              <w:t>（8）财务会计报表复印件：提供2024年的财务报表或经审计的财务报告（审计报告）（如提供审计报告的，审计报告须经过“注册会计师行业统一监管平台”自动赋码，审计报告编码（二维码）能通过统一监管平台进行查验，否则无效）</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件，投标人属于成立时间在规定年度之后的，需提供成立之日起至投标截止时间前的月报表；或者提供银行出具的资信证明</w:t>
            </w:r>
            <w:r>
              <w:rPr>
                <w:rFonts w:hint="eastAsia" w:hAnsi="宋体" w:cs="宋体;SimSun"/>
                <w:color w:val="auto"/>
                <w:kern w:val="2"/>
                <w:sz w:val="21"/>
                <w:highlight w:val="none"/>
                <w:lang w:val="en-US" w:eastAsia="zh-CN"/>
              </w:rPr>
              <w:t>复印</w:t>
            </w:r>
            <w:r>
              <w:rPr>
                <w:rFonts w:hint="eastAsia" w:hAnsi="宋体" w:cs="宋体;SimSun"/>
                <w:color w:val="auto"/>
                <w:kern w:val="2"/>
                <w:sz w:val="21"/>
                <w:highlight w:val="none"/>
              </w:rPr>
              <w:t>件，资信证明应在有效期内，未注明有效期的，银行出具时间至投标截止时间不超过一年；</w:t>
            </w:r>
          </w:p>
          <w:p w14:paraId="6590872A">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（9）法定代表人授权委托书：按第五章“响应文件格式”提供的“法定代表人授权委托书（格式）”的要求填写；</w:t>
            </w:r>
          </w:p>
          <w:p w14:paraId="0F0A5AD3">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（10）委托代理人身份证明复印件：如使用第二代身份证应提交正、反面复印件，如委托代理人非中国国籍应提交护照复印件，要求证件有效并与法定代表人授权委托书中的委托代理人相符；</w:t>
            </w:r>
          </w:p>
          <w:p w14:paraId="4A73CF97">
            <w:pPr>
              <w:pStyle w:val="27"/>
              <w:spacing w:line="400" w:lineRule="exact"/>
              <w:ind w:firstLine="315" w:firstLineChars="150"/>
              <w:rPr>
                <w:color w:val="auto"/>
                <w:sz w:val="21"/>
                <w:highlight w:val="none"/>
              </w:rPr>
            </w:pPr>
            <w:r>
              <w:rPr>
                <w:rFonts w:hint="eastAsia" w:hAnsi="宋体" w:cs="宋体;SimSun"/>
                <w:color w:val="auto"/>
                <w:kern w:val="2"/>
                <w:sz w:val="21"/>
                <w:highlight w:val="none"/>
              </w:rPr>
              <w:t>（11）</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服务承诺书：提供“</w:t>
            </w:r>
            <w:r>
              <w:rPr>
                <w:rFonts w:hint="eastAsia" w:hAnsi="宋体" w:cs="宋体;SimSun"/>
                <w:color w:val="auto"/>
                <w:kern w:val="2"/>
                <w:sz w:val="21"/>
                <w:highlight w:val="none"/>
                <w:lang w:val="en-US" w:eastAsia="zh-CN"/>
              </w:rPr>
              <w:t>实时</w:t>
            </w:r>
            <w:r>
              <w:rPr>
                <w:rFonts w:hint="eastAsia" w:hAnsi="宋体" w:cs="宋体;SimSun"/>
                <w:color w:val="auto"/>
                <w:kern w:val="2"/>
                <w:sz w:val="21"/>
                <w:highlight w:val="none"/>
              </w:rPr>
              <w:t>服务承诺书”</w:t>
            </w:r>
            <w:r>
              <w:rPr>
                <w:rFonts w:hAnsi="宋体" w:cs="宋体;SimSun"/>
                <w:color w:val="auto"/>
                <w:kern w:val="2"/>
                <w:sz w:val="21"/>
                <w:highlight w:val="none"/>
              </w:rPr>
              <w:t xml:space="preserve"> </w:t>
            </w:r>
            <w:r>
              <w:rPr>
                <w:rFonts w:hint="eastAsia" w:hAnsi="宋体" w:cs="宋体;SimSun"/>
                <w:color w:val="auto"/>
                <w:kern w:val="2"/>
                <w:sz w:val="21"/>
                <w:highlight w:val="none"/>
              </w:rPr>
              <w:t>；</w:t>
            </w:r>
          </w:p>
          <w:p w14:paraId="6430BA44">
            <w:pPr>
              <w:pStyle w:val="27"/>
              <w:spacing w:line="400" w:lineRule="exact"/>
              <w:ind w:firstLine="315" w:firstLineChars="150"/>
              <w:rPr>
                <w:rFonts w:hAnsi="宋体" w:cs="宋体;SimSun"/>
                <w:color w:val="auto"/>
                <w:kern w:val="2"/>
                <w:sz w:val="21"/>
                <w:highlight w:val="none"/>
              </w:rPr>
            </w:pPr>
            <w:r>
              <w:rPr>
                <w:rFonts w:hint="eastAsia" w:hAnsi="宋体" w:cs="宋体;SimSun"/>
                <w:color w:val="auto"/>
                <w:kern w:val="2"/>
                <w:sz w:val="21"/>
                <w:highlight w:val="none"/>
              </w:rPr>
              <w:t>（12）其它：竞标人通过国家或国际认证资格证书复印件、银行出具的竞标人资信证明或信用等级证明复印件、竞标人同类项目的实际业绩证明（附相关证明材料复印件）、竞标人历年的获奖荣誉证书复印件，等等。</w:t>
            </w:r>
          </w:p>
          <w:p w14:paraId="268866B9">
            <w:pPr>
              <w:spacing w:line="440" w:lineRule="exact"/>
              <w:ind w:firstLine="308" w:firstLineChars="147"/>
              <w:rPr>
                <w:rFonts w:ascii="宋体" w:hAnsi="宋体" w:cs="宋体;SimSun"/>
                <w:color w:val="auto"/>
                <w:szCs w:val="21"/>
                <w:highlight w:val="none"/>
              </w:rPr>
            </w:pPr>
            <w:r>
              <w:rPr>
                <w:rFonts w:hint="eastAsia" w:ascii="宋体" w:hAnsi="宋体" w:cs="宋体;SimSun"/>
                <w:color w:val="auto"/>
                <w:szCs w:val="21"/>
                <w:highlight w:val="none"/>
              </w:rPr>
              <w:t>商务文件中的第（</w:t>
            </w:r>
            <w:r>
              <w:rPr>
                <w:rFonts w:ascii="宋体" w:hAnsi="宋体" w:cs="宋体;SimSun"/>
                <w:color w:val="auto"/>
                <w:szCs w:val="21"/>
                <w:highlight w:val="none"/>
              </w:rPr>
              <w:t>1</w:t>
            </w:r>
            <w:r>
              <w:rPr>
                <w:rFonts w:hint="eastAsia" w:ascii="宋体" w:hAnsi="宋体" w:cs="宋体;SimSun"/>
                <w:color w:val="auto"/>
                <w:szCs w:val="21"/>
                <w:highlight w:val="none"/>
              </w:rPr>
              <w:t>）～（8）项必须提交；第（9）、（10）项在委托代理时必须提交；第（11）、（12）项如有请提交。</w:t>
            </w:r>
          </w:p>
          <w:p w14:paraId="4FCEB8F3">
            <w:pPr>
              <w:spacing w:line="440" w:lineRule="exact"/>
              <w:ind w:firstLine="310" w:firstLineChars="147"/>
              <w:rPr>
                <w:rFonts w:ascii="宋体" w:hAnsi="宋体" w:cs="宋体;SimSun"/>
                <w:color w:val="auto"/>
                <w:szCs w:val="21"/>
                <w:highlight w:val="none"/>
              </w:rPr>
            </w:pPr>
            <w:r>
              <w:rPr>
                <w:rFonts w:hint="eastAsia" w:ascii="宋体" w:hAnsi="宋体" w:cs="宋体;SimSun"/>
                <w:b/>
                <w:bCs/>
                <w:color w:val="auto"/>
                <w:szCs w:val="21"/>
                <w:highlight w:val="none"/>
              </w:rPr>
              <w:t>竞标人应按上述顺序将报价文件、技术文件、商务文件分别装订成册。特别注意竞标报价不得出现在技术文件和商务文件中。</w:t>
            </w:r>
          </w:p>
        </w:tc>
      </w:tr>
      <w:tr w14:paraId="1E22E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817" w:type="dxa"/>
            <w:vAlign w:val="center"/>
          </w:tcPr>
          <w:p w14:paraId="41F5298B">
            <w:pPr>
              <w:spacing w:line="440" w:lineRule="exact"/>
              <w:jc w:val="center"/>
              <w:rPr>
                <w:rFonts w:ascii="宋体" w:hAnsi="宋体"/>
                <w:color w:val="auto"/>
                <w:szCs w:val="21"/>
                <w:highlight w:val="none"/>
              </w:rPr>
            </w:pPr>
            <w:r>
              <w:rPr>
                <w:rFonts w:hint="eastAsia" w:ascii="宋体" w:hAnsi="宋体"/>
                <w:color w:val="auto"/>
                <w:szCs w:val="21"/>
                <w:highlight w:val="none"/>
              </w:rPr>
              <w:t>6</w:t>
            </w:r>
          </w:p>
        </w:tc>
        <w:tc>
          <w:tcPr>
            <w:tcW w:w="1036" w:type="dxa"/>
            <w:vAlign w:val="center"/>
          </w:tcPr>
          <w:p w14:paraId="66C289BD">
            <w:pPr>
              <w:spacing w:line="440" w:lineRule="exact"/>
              <w:jc w:val="center"/>
              <w:rPr>
                <w:rFonts w:ascii="宋体" w:hAnsi="宋体"/>
                <w:color w:val="auto"/>
                <w:szCs w:val="21"/>
                <w:highlight w:val="none"/>
              </w:rPr>
            </w:pPr>
            <w:r>
              <w:rPr>
                <w:rFonts w:hint="eastAsia" w:ascii="宋体" w:hAnsi="宋体"/>
                <w:color w:val="auto"/>
                <w:szCs w:val="21"/>
                <w:highlight w:val="none"/>
              </w:rPr>
              <w:t>6.7</w:t>
            </w:r>
          </w:p>
        </w:tc>
        <w:tc>
          <w:tcPr>
            <w:tcW w:w="7579" w:type="dxa"/>
            <w:vAlign w:val="center"/>
          </w:tcPr>
          <w:p w14:paraId="21425DC4">
            <w:pPr>
              <w:snapToGrid w:val="0"/>
              <w:spacing w:line="440" w:lineRule="exact"/>
              <w:rPr>
                <w:rFonts w:ascii="宋体" w:hAnsi="宋体"/>
                <w:color w:val="auto"/>
                <w:szCs w:val="21"/>
                <w:highlight w:val="none"/>
              </w:rPr>
            </w:pPr>
            <w:r>
              <w:rPr>
                <w:rFonts w:hint="eastAsia" w:ascii="宋体" w:hAnsi="宋体" w:cs="Courier New"/>
                <w:color w:val="auto"/>
                <w:szCs w:val="21"/>
                <w:highlight w:val="none"/>
              </w:rPr>
              <w:t>响应文件电子版：（U盘）1份</w:t>
            </w:r>
            <w:r>
              <w:rPr>
                <w:rFonts w:hint="eastAsia" w:ascii="宋体" w:hAnsi="宋体" w:cs="宋体"/>
                <w:color w:val="auto"/>
                <w:szCs w:val="21"/>
                <w:highlight w:val="none"/>
              </w:rPr>
              <w:t>，</w:t>
            </w:r>
            <w:r>
              <w:rPr>
                <w:rFonts w:hint="eastAsia" w:ascii="宋体" w:hAnsi="宋体" w:cs="Courier New"/>
                <w:color w:val="auto"/>
                <w:szCs w:val="21"/>
                <w:highlight w:val="none"/>
              </w:rPr>
              <w:t>格式为Word版及盖章扫描版PDF</w:t>
            </w:r>
          </w:p>
        </w:tc>
      </w:tr>
      <w:tr w14:paraId="441F2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1C31EB27">
            <w:pPr>
              <w:spacing w:line="440" w:lineRule="exact"/>
              <w:jc w:val="center"/>
              <w:rPr>
                <w:rFonts w:ascii="宋体" w:hAnsi="宋体"/>
                <w:color w:val="auto"/>
                <w:szCs w:val="21"/>
                <w:highlight w:val="none"/>
              </w:rPr>
            </w:pPr>
            <w:r>
              <w:rPr>
                <w:rFonts w:hint="eastAsia" w:ascii="宋体" w:hAnsi="宋体"/>
                <w:color w:val="auto"/>
                <w:szCs w:val="21"/>
                <w:highlight w:val="none"/>
              </w:rPr>
              <w:t>7</w:t>
            </w:r>
          </w:p>
        </w:tc>
        <w:tc>
          <w:tcPr>
            <w:tcW w:w="1036" w:type="dxa"/>
            <w:vAlign w:val="center"/>
          </w:tcPr>
          <w:p w14:paraId="22BF1B58">
            <w:pPr>
              <w:spacing w:line="440" w:lineRule="exact"/>
              <w:jc w:val="center"/>
              <w:rPr>
                <w:rFonts w:ascii="宋体" w:hAnsi="宋体"/>
                <w:color w:val="auto"/>
                <w:szCs w:val="21"/>
                <w:highlight w:val="none"/>
              </w:rPr>
            </w:pPr>
            <w:r>
              <w:rPr>
                <w:rFonts w:hint="eastAsia" w:ascii="宋体" w:hAnsi="宋体"/>
                <w:color w:val="auto"/>
                <w:szCs w:val="21"/>
                <w:highlight w:val="none"/>
              </w:rPr>
              <w:t>6.8</w:t>
            </w:r>
          </w:p>
        </w:tc>
        <w:tc>
          <w:tcPr>
            <w:tcW w:w="7579" w:type="dxa"/>
            <w:vAlign w:val="center"/>
          </w:tcPr>
          <w:p w14:paraId="2FBD6497">
            <w:pPr>
              <w:spacing w:line="440" w:lineRule="exact"/>
              <w:rPr>
                <w:rFonts w:ascii="宋体" w:hAnsi="宋体"/>
                <w:color w:val="auto"/>
                <w:szCs w:val="21"/>
                <w:highlight w:val="none"/>
              </w:rPr>
            </w:pPr>
            <w:r>
              <w:rPr>
                <w:rFonts w:hint="eastAsia" w:ascii="宋体" w:hAnsi="宋体"/>
                <w:color w:val="auto"/>
                <w:szCs w:val="21"/>
                <w:highlight w:val="none"/>
              </w:rPr>
              <w:t>竞标有效期：自竞标截止之日起60日历天。</w:t>
            </w:r>
          </w:p>
          <w:p w14:paraId="179E4296">
            <w:pPr>
              <w:pStyle w:val="15"/>
              <w:widowControl w:val="0"/>
              <w:tabs>
                <w:tab w:val="clear" w:pos="454"/>
              </w:tabs>
              <w:snapToGrid w:val="0"/>
              <w:spacing w:afterLines="0" w:line="440" w:lineRule="exact"/>
              <w:ind w:left="0" w:firstLine="33" w:firstLineChars="16"/>
              <w:rPr>
                <w:rFonts w:ascii="宋体" w:hAnsi="宋体"/>
                <w:color w:val="auto"/>
                <w:sz w:val="21"/>
                <w:szCs w:val="21"/>
                <w:highlight w:val="none"/>
              </w:rPr>
            </w:pPr>
            <w:bookmarkStart w:id="34" w:name="_Toc254970681"/>
            <w:bookmarkStart w:id="35" w:name="_Toc254970540"/>
            <w:r>
              <w:rPr>
                <w:rFonts w:hint="eastAsia" w:ascii="宋体" w:hAnsi="宋体"/>
                <w:color w:val="auto"/>
                <w:sz w:val="21"/>
                <w:szCs w:val="21"/>
                <w:highlight w:val="none"/>
              </w:rPr>
              <w:t>1.未成交的响应文件竞标有效期内均应保持有效。</w:t>
            </w:r>
            <w:bookmarkEnd w:id="34"/>
            <w:bookmarkEnd w:id="35"/>
          </w:p>
          <w:p w14:paraId="13C8D58F">
            <w:pPr>
              <w:pStyle w:val="15"/>
              <w:widowControl w:val="0"/>
              <w:tabs>
                <w:tab w:val="clear" w:pos="454"/>
              </w:tabs>
              <w:snapToGrid w:val="0"/>
              <w:spacing w:afterLines="0" w:line="440" w:lineRule="exact"/>
              <w:ind w:left="0" w:firstLine="33" w:firstLineChars="16"/>
              <w:rPr>
                <w:rFonts w:ascii="宋体" w:hAnsi="宋体"/>
                <w:color w:val="auto"/>
                <w:sz w:val="21"/>
                <w:szCs w:val="21"/>
                <w:highlight w:val="none"/>
              </w:rPr>
            </w:pPr>
            <w:r>
              <w:rPr>
                <w:rFonts w:hint="eastAsia" w:ascii="宋体" w:hAnsi="宋体"/>
                <w:color w:val="auto"/>
                <w:sz w:val="21"/>
                <w:szCs w:val="21"/>
                <w:highlight w:val="none"/>
              </w:rPr>
              <w:t>2.成交供应商的响应文件自开标之日起至合同履行完毕止均应保持有效。</w:t>
            </w:r>
          </w:p>
        </w:tc>
      </w:tr>
      <w:tr w14:paraId="177F0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01C68B73">
            <w:pPr>
              <w:spacing w:line="440" w:lineRule="exact"/>
              <w:jc w:val="center"/>
              <w:rPr>
                <w:rFonts w:ascii="宋体" w:hAnsi="宋体"/>
                <w:color w:val="auto"/>
                <w:szCs w:val="21"/>
                <w:highlight w:val="none"/>
              </w:rPr>
            </w:pPr>
            <w:r>
              <w:rPr>
                <w:rFonts w:hint="eastAsia" w:ascii="宋体" w:hAnsi="宋体"/>
                <w:color w:val="auto"/>
                <w:szCs w:val="21"/>
                <w:highlight w:val="none"/>
              </w:rPr>
              <w:t>8</w:t>
            </w:r>
          </w:p>
        </w:tc>
        <w:tc>
          <w:tcPr>
            <w:tcW w:w="1036" w:type="dxa"/>
            <w:vAlign w:val="center"/>
          </w:tcPr>
          <w:p w14:paraId="71DFC1BA">
            <w:pPr>
              <w:spacing w:line="440" w:lineRule="exact"/>
              <w:jc w:val="center"/>
              <w:rPr>
                <w:rFonts w:ascii="宋体" w:hAnsi="宋体"/>
                <w:color w:val="auto"/>
                <w:szCs w:val="21"/>
                <w:highlight w:val="none"/>
              </w:rPr>
            </w:pPr>
            <w:r>
              <w:rPr>
                <w:rFonts w:hint="eastAsia" w:ascii="宋体" w:hAnsi="宋体"/>
                <w:color w:val="auto"/>
                <w:szCs w:val="21"/>
                <w:highlight w:val="none"/>
              </w:rPr>
              <w:t>6.9</w:t>
            </w:r>
          </w:p>
        </w:tc>
        <w:tc>
          <w:tcPr>
            <w:tcW w:w="7579" w:type="dxa"/>
            <w:vAlign w:val="center"/>
          </w:tcPr>
          <w:p w14:paraId="1E68DEFC">
            <w:pPr>
              <w:spacing w:line="420" w:lineRule="exact"/>
              <w:rPr>
                <w:rFonts w:ascii="宋体" w:hAnsi="宋体"/>
                <w:color w:val="auto"/>
                <w:szCs w:val="21"/>
                <w:highlight w:val="none"/>
              </w:rPr>
            </w:pPr>
            <w:r>
              <w:rPr>
                <w:rFonts w:hint="eastAsia" w:ascii="宋体" w:hAnsi="宋体"/>
                <w:color w:val="auto"/>
                <w:szCs w:val="21"/>
                <w:highlight w:val="none"/>
              </w:rPr>
              <w:t>磋商保证金金额：叁仟元整（¥3000.00）。</w:t>
            </w:r>
          </w:p>
          <w:p w14:paraId="761B2E52">
            <w:pPr>
              <w:spacing w:line="420" w:lineRule="exact"/>
              <w:ind w:firstLine="420" w:firstLineChars="200"/>
              <w:rPr>
                <w:rFonts w:ascii="宋体" w:hAnsi="宋体"/>
                <w:color w:val="auto"/>
                <w:szCs w:val="21"/>
                <w:highlight w:val="none"/>
              </w:rPr>
            </w:pPr>
            <w:r>
              <w:rPr>
                <w:rFonts w:hint="eastAsia" w:ascii="宋体" w:hAnsi="宋体"/>
                <w:color w:val="auto"/>
                <w:szCs w:val="21"/>
                <w:highlight w:val="none"/>
              </w:rPr>
              <w:t>磋商保证金递交方式：</w:t>
            </w:r>
            <w:r>
              <w:rPr>
                <w:rFonts w:hint="eastAsia" w:ascii="宋体" w:hAnsi="宋体"/>
                <w:color w:val="auto"/>
                <w:szCs w:val="21"/>
                <w:highlight w:val="none"/>
                <w:lang w:val="en-US" w:eastAsia="zh-CN"/>
              </w:rPr>
              <w:t>银行</w:t>
            </w:r>
            <w:r>
              <w:rPr>
                <w:rFonts w:hint="eastAsia" w:ascii="宋体" w:hAnsi="宋体"/>
                <w:color w:val="auto"/>
                <w:szCs w:val="21"/>
                <w:highlight w:val="none"/>
              </w:rPr>
              <w:t>转账、支票、汇票、本票或者金融、担保机构出具的保函，禁止采用现钞方式。采用银行转账方式的，在首次响应文件提交截止时间前交至采购代理机构指定账户并且到账【开户名称：广西建标建设工程咨询有限责任公司第一分公司；开户银行：中国建设银行股份有限公司南宁荣和支行；银行账号：45050160456300000499】，</w:t>
            </w:r>
            <w:r>
              <w:rPr>
                <w:rFonts w:hint="eastAsia" w:ascii="宋体" w:hAnsi="宋体" w:cs="Arial"/>
                <w:color w:val="auto"/>
                <w:szCs w:val="21"/>
                <w:highlight w:val="none"/>
              </w:rPr>
              <w:t>否则视为无效磋商保证金。本项目不接受现钞形式或从个人账户转出的投标保证金</w:t>
            </w:r>
            <w:r>
              <w:rPr>
                <w:rFonts w:hint="eastAsia" w:ascii="宋体" w:hAnsi="宋体"/>
                <w:color w:val="auto"/>
                <w:szCs w:val="21"/>
                <w:highlight w:val="none"/>
              </w:rPr>
              <w:t>。</w:t>
            </w:r>
            <w:r>
              <w:rPr>
                <w:rFonts w:hint="eastAsia" w:ascii="宋体" w:hAnsi="宋体" w:cs="宋体"/>
                <w:color w:val="auto"/>
                <w:kern w:val="0"/>
                <w:szCs w:val="21"/>
                <w:highlight w:val="none"/>
              </w:rPr>
              <w:t>采用支票、汇票、本票或者保函等方式的，在首次响应文件提交截止时间前，供应商必须提交单独密封的支票、汇票、本票或者保函原件。否则视为无效磋商保证金。</w:t>
            </w:r>
          </w:p>
        </w:tc>
      </w:tr>
      <w:tr w14:paraId="4C8A5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vAlign w:val="center"/>
          </w:tcPr>
          <w:p w14:paraId="7CF3726D">
            <w:pPr>
              <w:spacing w:line="440" w:lineRule="exact"/>
              <w:jc w:val="center"/>
              <w:rPr>
                <w:rFonts w:ascii="宋体" w:hAnsi="宋体"/>
                <w:color w:val="auto"/>
                <w:szCs w:val="21"/>
                <w:highlight w:val="none"/>
              </w:rPr>
            </w:pPr>
            <w:r>
              <w:rPr>
                <w:rFonts w:hint="eastAsia" w:ascii="宋体" w:hAnsi="宋体"/>
                <w:color w:val="auto"/>
                <w:szCs w:val="21"/>
                <w:highlight w:val="none"/>
              </w:rPr>
              <w:t>9</w:t>
            </w:r>
          </w:p>
        </w:tc>
        <w:tc>
          <w:tcPr>
            <w:tcW w:w="1036" w:type="dxa"/>
            <w:vAlign w:val="center"/>
          </w:tcPr>
          <w:p w14:paraId="439BD6FF">
            <w:pPr>
              <w:spacing w:line="440" w:lineRule="exact"/>
              <w:jc w:val="center"/>
              <w:rPr>
                <w:rFonts w:ascii="宋体" w:hAnsi="宋体"/>
                <w:color w:val="auto"/>
                <w:szCs w:val="21"/>
                <w:highlight w:val="none"/>
              </w:rPr>
            </w:pPr>
            <w:r>
              <w:rPr>
                <w:rFonts w:hint="eastAsia" w:ascii="宋体" w:hAnsi="宋体"/>
                <w:color w:val="auto"/>
                <w:szCs w:val="21"/>
                <w:highlight w:val="none"/>
              </w:rPr>
              <w:t>8.1</w:t>
            </w:r>
          </w:p>
        </w:tc>
        <w:tc>
          <w:tcPr>
            <w:tcW w:w="7579" w:type="dxa"/>
            <w:vAlign w:val="center"/>
          </w:tcPr>
          <w:p w14:paraId="04CCE211">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竞标报价：</w:t>
            </w:r>
            <w:r>
              <w:rPr>
                <w:rFonts w:hint="eastAsia" w:ascii="宋体" w:hAnsi="宋体" w:cs="宋体"/>
                <w:color w:val="auto"/>
                <w:szCs w:val="21"/>
                <w:highlight w:val="none"/>
              </w:rPr>
              <w:t>①</w:t>
            </w:r>
            <w:r>
              <w:rPr>
                <w:rFonts w:hint="eastAsia" w:ascii="宋体" w:hAnsi="宋体"/>
                <w:color w:val="auto"/>
                <w:szCs w:val="21"/>
                <w:highlight w:val="none"/>
              </w:rPr>
              <w:t>供应商必须就全部内容作完整唯一报价，漏项报价的或有选择的或有条件报价或报价金额超出分项金额或预算金额的，其竞标将视为无效。</w:t>
            </w:r>
          </w:p>
          <w:p w14:paraId="162BFF66">
            <w:pPr>
              <w:tabs>
                <w:tab w:val="left" w:pos="525"/>
              </w:tabs>
              <w:snapToGrid w:val="0"/>
              <w:spacing w:line="440" w:lineRule="exact"/>
              <w:jc w:val="both"/>
              <w:rPr>
                <w:rFonts w:ascii="宋体" w:hAnsi="宋体"/>
                <w:color w:val="auto"/>
                <w:szCs w:val="21"/>
                <w:highlight w:val="none"/>
              </w:rPr>
            </w:pPr>
            <w:r>
              <w:rPr>
                <w:rFonts w:hint="eastAsia" w:ascii="宋体" w:hAnsi="宋体"/>
                <w:color w:val="auto"/>
                <w:szCs w:val="21"/>
                <w:highlight w:val="none"/>
              </w:rPr>
              <w:t>②本项目为竞争性磋商项目，会对通过资格及符合性评审的竞标供应商进行二次报价要求。</w:t>
            </w:r>
          </w:p>
        </w:tc>
      </w:tr>
      <w:tr w14:paraId="64024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6718C4D6">
            <w:pPr>
              <w:spacing w:line="440" w:lineRule="exact"/>
              <w:jc w:val="center"/>
              <w:rPr>
                <w:rFonts w:ascii="宋体" w:hAnsi="宋体"/>
                <w:color w:val="auto"/>
                <w:szCs w:val="21"/>
                <w:highlight w:val="none"/>
              </w:rPr>
            </w:pPr>
            <w:r>
              <w:rPr>
                <w:rFonts w:hint="eastAsia" w:ascii="宋体" w:hAnsi="宋体"/>
                <w:color w:val="auto"/>
                <w:szCs w:val="21"/>
                <w:highlight w:val="none"/>
              </w:rPr>
              <w:t>10</w:t>
            </w:r>
          </w:p>
        </w:tc>
        <w:tc>
          <w:tcPr>
            <w:tcW w:w="1036" w:type="dxa"/>
            <w:vAlign w:val="center"/>
          </w:tcPr>
          <w:p w14:paraId="339809DB">
            <w:pPr>
              <w:spacing w:line="440" w:lineRule="exact"/>
              <w:jc w:val="center"/>
              <w:rPr>
                <w:rFonts w:ascii="宋体" w:hAnsi="宋体"/>
                <w:color w:val="auto"/>
                <w:szCs w:val="21"/>
                <w:highlight w:val="none"/>
              </w:rPr>
            </w:pPr>
            <w:r>
              <w:rPr>
                <w:rFonts w:hint="eastAsia" w:ascii="宋体" w:hAnsi="宋体"/>
                <w:color w:val="auto"/>
                <w:szCs w:val="21"/>
                <w:highlight w:val="none"/>
              </w:rPr>
              <w:t>9.1</w:t>
            </w:r>
          </w:p>
        </w:tc>
        <w:tc>
          <w:tcPr>
            <w:tcW w:w="7579" w:type="dxa"/>
            <w:vAlign w:val="center"/>
          </w:tcPr>
          <w:p w14:paraId="02040E58">
            <w:pPr>
              <w:spacing w:line="440" w:lineRule="exact"/>
              <w:rPr>
                <w:rFonts w:ascii="宋体" w:hAnsi="宋体"/>
                <w:color w:val="auto"/>
                <w:szCs w:val="21"/>
                <w:highlight w:val="none"/>
              </w:rPr>
            </w:pPr>
            <w:r>
              <w:rPr>
                <w:rFonts w:hint="eastAsia" w:ascii="宋体" w:hAnsi="宋体"/>
                <w:color w:val="auto"/>
                <w:szCs w:val="21"/>
                <w:highlight w:val="none"/>
              </w:rPr>
              <w:t>响应文件份数：</w:t>
            </w:r>
          </w:p>
          <w:p w14:paraId="0B2E3B7B">
            <w:pPr>
              <w:spacing w:line="440" w:lineRule="exact"/>
              <w:rPr>
                <w:rFonts w:ascii="宋体" w:hAnsi="宋体"/>
                <w:color w:val="auto"/>
                <w:szCs w:val="21"/>
                <w:highlight w:val="none"/>
              </w:rPr>
            </w:pPr>
            <w:r>
              <w:rPr>
                <w:rFonts w:hint="eastAsia" w:ascii="宋体" w:hAnsi="宋体" w:cs="宋体;SimSun"/>
                <w:b/>
                <w:bCs/>
                <w:color w:val="auto"/>
                <w:szCs w:val="21"/>
                <w:highlight w:val="none"/>
              </w:rPr>
              <w:t>报价文件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782A5D8E">
            <w:pPr>
              <w:spacing w:line="440" w:lineRule="exact"/>
              <w:rPr>
                <w:rFonts w:ascii="宋体" w:hAnsi="宋体" w:cs="宋体;SimSun"/>
                <w:b/>
                <w:bCs/>
                <w:color w:val="auto"/>
                <w:szCs w:val="21"/>
                <w:highlight w:val="none"/>
              </w:rPr>
            </w:pPr>
            <w:r>
              <w:rPr>
                <w:rFonts w:hint="eastAsia" w:ascii="宋体" w:hAnsi="宋体" w:cs="宋体;SimSun"/>
                <w:b/>
                <w:bCs/>
                <w:color w:val="auto"/>
                <w:szCs w:val="21"/>
                <w:highlight w:val="none"/>
              </w:rPr>
              <w:t>技术文件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p w14:paraId="523F3399">
            <w:pPr>
              <w:spacing w:line="440" w:lineRule="exact"/>
              <w:rPr>
                <w:rFonts w:ascii="宋体" w:hAnsi="宋体"/>
                <w:color w:val="auto"/>
                <w:szCs w:val="21"/>
                <w:highlight w:val="none"/>
              </w:rPr>
            </w:pPr>
            <w:r>
              <w:rPr>
                <w:rFonts w:hint="eastAsia" w:ascii="宋体" w:hAnsi="宋体" w:cs="宋体;SimSun"/>
                <w:b/>
                <w:bCs/>
                <w:color w:val="auto"/>
                <w:szCs w:val="21"/>
                <w:highlight w:val="none"/>
              </w:rPr>
              <w:t>商务文件</w:t>
            </w:r>
            <w:r>
              <w:rPr>
                <w:rFonts w:hint="eastAsia" w:ascii="宋体" w:hAnsi="宋体"/>
                <w:color w:val="auto"/>
                <w:szCs w:val="21"/>
                <w:highlight w:val="none"/>
              </w:rPr>
              <w:t>正本一份</w:t>
            </w:r>
            <w:r>
              <w:rPr>
                <w:rFonts w:hint="eastAsia" w:ascii="宋体" w:hAnsi="宋体" w:cs="宋体;SimSun"/>
                <w:b/>
                <w:bCs/>
                <w:color w:val="auto"/>
                <w:szCs w:val="21"/>
                <w:highlight w:val="none"/>
              </w:rPr>
              <w:t>、</w:t>
            </w:r>
            <w:r>
              <w:rPr>
                <w:rFonts w:hint="eastAsia" w:ascii="宋体" w:hAnsi="宋体"/>
                <w:color w:val="auto"/>
                <w:szCs w:val="21"/>
                <w:highlight w:val="none"/>
              </w:rPr>
              <w:t>副本二份；</w:t>
            </w:r>
          </w:p>
        </w:tc>
      </w:tr>
      <w:tr w14:paraId="16E36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50B9AD8A">
            <w:pPr>
              <w:spacing w:line="440" w:lineRule="exact"/>
              <w:jc w:val="center"/>
              <w:rPr>
                <w:rFonts w:ascii="宋体" w:hAnsi="宋体"/>
                <w:color w:val="auto"/>
                <w:szCs w:val="21"/>
                <w:highlight w:val="none"/>
              </w:rPr>
            </w:pPr>
            <w:r>
              <w:rPr>
                <w:rFonts w:hint="eastAsia" w:ascii="宋体" w:hAnsi="宋体"/>
                <w:color w:val="auto"/>
                <w:szCs w:val="21"/>
                <w:highlight w:val="none"/>
              </w:rPr>
              <w:t>11</w:t>
            </w:r>
          </w:p>
        </w:tc>
        <w:tc>
          <w:tcPr>
            <w:tcW w:w="1036" w:type="dxa"/>
            <w:vAlign w:val="center"/>
          </w:tcPr>
          <w:p w14:paraId="7DA68F73">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376A4C0E">
            <w:pPr>
              <w:spacing w:line="440" w:lineRule="exact"/>
              <w:rPr>
                <w:rFonts w:ascii="宋体" w:hAnsi="宋体"/>
                <w:color w:val="auto"/>
                <w:szCs w:val="21"/>
                <w:highlight w:val="none"/>
                <w:u w:val="single"/>
              </w:rPr>
            </w:pPr>
            <w:r>
              <w:rPr>
                <w:rFonts w:hint="eastAsia" w:ascii="宋体" w:hAnsi="宋体"/>
                <w:color w:val="auto"/>
                <w:szCs w:val="21"/>
                <w:highlight w:val="none"/>
              </w:rPr>
              <w:t>竞争性磋商响应文件递交截止时间和地点：</w:t>
            </w:r>
            <w:r>
              <w:rPr>
                <w:rFonts w:hint="eastAsia" w:ascii="宋体" w:hAnsi="宋体" w:cs="宋体"/>
                <w:color w:val="auto"/>
                <w:szCs w:val="21"/>
                <w:highlight w:val="none"/>
              </w:rPr>
              <w:t>详见竞争性磋商公告</w:t>
            </w:r>
          </w:p>
          <w:p w14:paraId="2102E545">
            <w:pPr>
              <w:spacing w:line="440" w:lineRule="exact"/>
              <w:rPr>
                <w:rFonts w:ascii="宋体" w:hAnsi="宋体"/>
                <w:color w:val="auto"/>
                <w:szCs w:val="21"/>
                <w:highlight w:val="none"/>
              </w:rPr>
            </w:pPr>
            <w:r>
              <w:rPr>
                <w:rFonts w:hint="eastAsia" w:ascii="宋体" w:hAnsi="宋体"/>
                <w:color w:val="auto"/>
                <w:szCs w:val="21"/>
                <w:highlight w:val="none"/>
              </w:rPr>
              <w:t>递交地点：</w:t>
            </w:r>
            <w:r>
              <w:rPr>
                <w:rFonts w:hint="eastAsia" w:ascii="宋体" w:hAnsi="宋体" w:cs="宋体"/>
                <w:color w:val="auto"/>
                <w:szCs w:val="21"/>
                <w:highlight w:val="none"/>
              </w:rPr>
              <w:t>详见竞争性磋商公告</w:t>
            </w:r>
          </w:p>
        </w:tc>
      </w:tr>
      <w:tr w14:paraId="2A39D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817" w:type="dxa"/>
            <w:vAlign w:val="center"/>
          </w:tcPr>
          <w:p w14:paraId="6D11B754">
            <w:pPr>
              <w:spacing w:line="440" w:lineRule="exact"/>
              <w:jc w:val="center"/>
              <w:rPr>
                <w:rFonts w:ascii="宋体" w:hAnsi="宋体"/>
                <w:color w:val="auto"/>
                <w:szCs w:val="21"/>
                <w:highlight w:val="none"/>
              </w:rPr>
            </w:pPr>
            <w:r>
              <w:rPr>
                <w:rFonts w:hint="eastAsia" w:ascii="宋体" w:hAnsi="宋体"/>
                <w:color w:val="auto"/>
                <w:szCs w:val="21"/>
                <w:highlight w:val="none"/>
              </w:rPr>
              <w:t>12</w:t>
            </w:r>
          </w:p>
        </w:tc>
        <w:tc>
          <w:tcPr>
            <w:tcW w:w="1036" w:type="dxa"/>
            <w:vAlign w:val="center"/>
          </w:tcPr>
          <w:p w14:paraId="5FCBAEAB">
            <w:pPr>
              <w:spacing w:line="440" w:lineRule="exact"/>
              <w:jc w:val="center"/>
              <w:rPr>
                <w:rFonts w:ascii="宋体" w:hAnsi="宋体"/>
                <w:color w:val="auto"/>
                <w:szCs w:val="21"/>
                <w:highlight w:val="none"/>
              </w:rPr>
            </w:pPr>
            <w:r>
              <w:rPr>
                <w:rFonts w:hint="eastAsia" w:ascii="宋体" w:hAnsi="宋体"/>
                <w:color w:val="auto"/>
                <w:szCs w:val="21"/>
                <w:highlight w:val="none"/>
              </w:rPr>
              <w:t>10.1</w:t>
            </w:r>
          </w:p>
        </w:tc>
        <w:tc>
          <w:tcPr>
            <w:tcW w:w="7579" w:type="dxa"/>
            <w:vAlign w:val="center"/>
          </w:tcPr>
          <w:p w14:paraId="0308147F">
            <w:pPr>
              <w:spacing w:line="440" w:lineRule="exact"/>
              <w:rPr>
                <w:rFonts w:ascii="宋体" w:hAnsi="宋体"/>
                <w:color w:val="auto"/>
                <w:szCs w:val="21"/>
                <w:highlight w:val="none"/>
              </w:rPr>
            </w:pPr>
            <w:r>
              <w:rPr>
                <w:rFonts w:hint="eastAsia" w:ascii="宋体" w:hAnsi="宋体"/>
                <w:color w:val="auto"/>
                <w:szCs w:val="21"/>
                <w:highlight w:val="none"/>
              </w:rPr>
              <w:t>磋商时间：</w:t>
            </w:r>
            <w:r>
              <w:rPr>
                <w:rFonts w:hint="eastAsia" w:ascii="宋体" w:hAnsi="宋体" w:cs="宋体"/>
                <w:color w:val="auto"/>
                <w:szCs w:val="21"/>
                <w:highlight w:val="none"/>
              </w:rPr>
              <w:t>详见竞争性磋商公告</w:t>
            </w:r>
          </w:p>
          <w:p w14:paraId="101A90A9">
            <w:pPr>
              <w:spacing w:line="440" w:lineRule="exact"/>
              <w:rPr>
                <w:rFonts w:ascii="宋体" w:hAnsi="宋体"/>
                <w:color w:val="auto"/>
                <w:szCs w:val="21"/>
                <w:highlight w:val="none"/>
                <w:u w:val="single"/>
              </w:rPr>
            </w:pPr>
            <w:r>
              <w:rPr>
                <w:rFonts w:hint="eastAsia" w:ascii="宋体" w:hAnsi="宋体"/>
                <w:color w:val="auto"/>
                <w:szCs w:val="21"/>
                <w:highlight w:val="none"/>
              </w:rPr>
              <w:t>磋商地点：</w:t>
            </w:r>
            <w:r>
              <w:rPr>
                <w:rFonts w:hint="eastAsia" w:ascii="宋体" w:hAnsi="宋体" w:cs="宋体"/>
                <w:color w:val="auto"/>
                <w:szCs w:val="21"/>
                <w:highlight w:val="none"/>
              </w:rPr>
              <w:t>详见竞争性磋商公告</w:t>
            </w:r>
          </w:p>
        </w:tc>
      </w:tr>
      <w:tr w14:paraId="02B6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jc w:val="center"/>
        </w:trPr>
        <w:tc>
          <w:tcPr>
            <w:tcW w:w="817" w:type="dxa"/>
            <w:vAlign w:val="center"/>
          </w:tcPr>
          <w:p w14:paraId="785C8B85">
            <w:pPr>
              <w:spacing w:line="440" w:lineRule="exact"/>
              <w:jc w:val="center"/>
              <w:rPr>
                <w:rFonts w:ascii="宋体" w:hAnsi="宋体"/>
                <w:color w:val="auto"/>
                <w:szCs w:val="21"/>
                <w:highlight w:val="none"/>
              </w:rPr>
            </w:pPr>
            <w:r>
              <w:rPr>
                <w:rFonts w:hint="eastAsia" w:ascii="宋体" w:hAnsi="宋体"/>
                <w:color w:val="auto"/>
                <w:szCs w:val="21"/>
                <w:highlight w:val="none"/>
              </w:rPr>
              <w:t>13</w:t>
            </w:r>
          </w:p>
        </w:tc>
        <w:tc>
          <w:tcPr>
            <w:tcW w:w="1036" w:type="dxa"/>
            <w:vAlign w:val="center"/>
          </w:tcPr>
          <w:p w14:paraId="65E96884">
            <w:pPr>
              <w:pStyle w:val="27"/>
              <w:spacing w:line="360" w:lineRule="auto"/>
              <w:jc w:val="center"/>
              <w:rPr>
                <w:rFonts w:hAnsi="宋体"/>
                <w:color w:val="auto"/>
                <w:sz w:val="21"/>
                <w:highlight w:val="none"/>
              </w:rPr>
            </w:pPr>
            <w:r>
              <w:rPr>
                <w:rFonts w:hint="eastAsia" w:hAnsi="宋体"/>
                <w:color w:val="auto"/>
                <w:sz w:val="21"/>
                <w:highlight w:val="none"/>
              </w:rPr>
              <w:t>19</w:t>
            </w:r>
          </w:p>
        </w:tc>
        <w:tc>
          <w:tcPr>
            <w:tcW w:w="7579" w:type="dxa"/>
            <w:vAlign w:val="center"/>
          </w:tcPr>
          <w:p w14:paraId="0A81D252">
            <w:pPr>
              <w:spacing w:line="360" w:lineRule="auto"/>
              <w:rPr>
                <w:rFonts w:ascii="Calibri" w:hAnsi="Calibri"/>
                <w:color w:val="auto"/>
                <w:szCs w:val="21"/>
                <w:highlight w:val="none"/>
              </w:rPr>
            </w:pPr>
            <w:r>
              <w:rPr>
                <w:rFonts w:hint="eastAsia" w:ascii="Calibri" w:hAnsi="宋体"/>
                <w:color w:val="auto"/>
                <w:szCs w:val="21"/>
                <w:highlight w:val="none"/>
              </w:rPr>
              <w:t>递交竞标样品截止时间：</w:t>
            </w:r>
            <w:r>
              <w:rPr>
                <w:rFonts w:hint="eastAsia" w:ascii="Calibri" w:hAnsi="Calibri"/>
                <w:color w:val="auto"/>
                <w:szCs w:val="21"/>
                <w:highlight w:val="none"/>
              </w:rPr>
              <w:t>无</w:t>
            </w:r>
          </w:p>
          <w:p w14:paraId="5A6D9902">
            <w:pPr>
              <w:spacing w:line="360" w:lineRule="auto"/>
              <w:rPr>
                <w:rFonts w:ascii="Calibri" w:hAnsi="宋体"/>
                <w:color w:val="auto"/>
                <w:szCs w:val="21"/>
                <w:highlight w:val="none"/>
              </w:rPr>
            </w:pPr>
            <w:r>
              <w:rPr>
                <w:rFonts w:hint="eastAsia" w:ascii="Calibri" w:hAnsi="宋体"/>
                <w:color w:val="auto"/>
                <w:szCs w:val="21"/>
                <w:highlight w:val="none"/>
              </w:rPr>
              <w:t>递交竞标样品地点：</w:t>
            </w:r>
            <w:r>
              <w:rPr>
                <w:rFonts w:hint="eastAsia" w:ascii="Calibri" w:hAnsi="Calibri"/>
                <w:color w:val="auto"/>
                <w:szCs w:val="21"/>
                <w:highlight w:val="none"/>
              </w:rPr>
              <w:t>无</w:t>
            </w:r>
          </w:p>
        </w:tc>
      </w:tr>
      <w:tr w14:paraId="6FF5C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jc w:val="center"/>
        </w:trPr>
        <w:tc>
          <w:tcPr>
            <w:tcW w:w="817" w:type="dxa"/>
            <w:vAlign w:val="center"/>
          </w:tcPr>
          <w:p w14:paraId="5CBA6D96">
            <w:pPr>
              <w:spacing w:line="440" w:lineRule="exact"/>
              <w:jc w:val="center"/>
              <w:rPr>
                <w:rFonts w:ascii="宋体" w:hAnsi="宋体"/>
                <w:color w:val="auto"/>
                <w:szCs w:val="21"/>
                <w:highlight w:val="none"/>
              </w:rPr>
            </w:pPr>
            <w:r>
              <w:rPr>
                <w:rFonts w:hint="eastAsia" w:ascii="宋体" w:hAnsi="宋体"/>
                <w:color w:val="auto"/>
                <w:szCs w:val="21"/>
                <w:highlight w:val="none"/>
              </w:rPr>
              <w:t>14</w:t>
            </w:r>
          </w:p>
        </w:tc>
        <w:tc>
          <w:tcPr>
            <w:tcW w:w="1036" w:type="dxa"/>
            <w:vAlign w:val="center"/>
          </w:tcPr>
          <w:p w14:paraId="39AA2EFB">
            <w:pPr>
              <w:spacing w:line="440" w:lineRule="exact"/>
              <w:jc w:val="center"/>
              <w:rPr>
                <w:rFonts w:ascii="宋体" w:hAnsi="宋体"/>
                <w:color w:val="auto"/>
                <w:szCs w:val="21"/>
                <w:highlight w:val="none"/>
              </w:rPr>
            </w:pPr>
            <w:r>
              <w:rPr>
                <w:rFonts w:hint="eastAsia" w:ascii="宋体" w:hAnsi="宋体"/>
                <w:color w:val="auto"/>
                <w:szCs w:val="21"/>
                <w:highlight w:val="none"/>
              </w:rPr>
              <w:t>14.1</w:t>
            </w:r>
          </w:p>
        </w:tc>
        <w:tc>
          <w:tcPr>
            <w:tcW w:w="7579" w:type="dxa"/>
            <w:vAlign w:val="center"/>
          </w:tcPr>
          <w:p w14:paraId="3C822DF7">
            <w:pPr>
              <w:spacing w:line="440" w:lineRule="exact"/>
              <w:rPr>
                <w:rFonts w:ascii="Calibri" w:hAnsi="Calibri"/>
                <w:color w:val="auto"/>
                <w:highlight w:val="none"/>
                <w:lang w:eastAsia="ar-SA"/>
              </w:rPr>
            </w:pPr>
            <w:r>
              <w:rPr>
                <w:rFonts w:hint="eastAsia" w:ascii="Calibri" w:hAnsi="Calibri"/>
                <w:color w:val="auto"/>
                <w:highlight w:val="none"/>
              </w:rPr>
              <w:t>履约保证金金额：本项目不收取履约保证金</w:t>
            </w:r>
          </w:p>
        </w:tc>
      </w:tr>
      <w:tr w14:paraId="4780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3BF33F7F">
            <w:pPr>
              <w:spacing w:line="440" w:lineRule="exact"/>
              <w:jc w:val="center"/>
              <w:rPr>
                <w:rFonts w:ascii="宋体" w:hAnsi="宋体"/>
                <w:color w:val="auto"/>
                <w:szCs w:val="21"/>
                <w:highlight w:val="none"/>
              </w:rPr>
            </w:pPr>
            <w:r>
              <w:rPr>
                <w:rFonts w:hint="eastAsia" w:ascii="宋体" w:hAnsi="宋体"/>
                <w:color w:val="auto"/>
                <w:szCs w:val="21"/>
                <w:highlight w:val="none"/>
              </w:rPr>
              <w:t>15</w:t>
            </w:r>
          </w:p>
        </w:tc>
        <w:tc>
          <w:tcPr>
            <w:tcW w:w="1036" w:type="dxa"/>
            <w:vAlign w:val="center"/>
          </w:tcPr>
          <w:p w14:paraId="653E4A69">
            <w:pPr>
              <w:spacing w:line="440" w:lineRule="exact"/>
              <w:jc w:val="center"/>
              <w:rPr>
                <w:rFonts w:ascii="宋体" w:hAnsi="宋体"/>
                <w:color w:val="auto"/>
                <w:szCs w:val="21"/>
                <w:highlight w:val="none"/>
              </w:rPr>
            </w:pPr>
            <w:r>
              <w:rPr>
                <w:rFonts w:hint="eastAsia" w:ascii="宋体" w:hAnsi="宋体"/>
                <w:color w:val="auto"/>
                <w:szCs w:val="21"/>
                <w:highlight w:val="none"/>
              </w:rPr>
              <w:t>9.5</w:t>
            </w:r>
          </w:p>
        </w:tc>
        <w:tc>
          <w:tcPr>
            <w:tcW w:w="7579" w:type="dxa"/>
            <w:vAlign w:val="center"/>
          </w:tcPr>
          <w:p w14:paraId="4FCCE40E">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    本竞争性磋商文件中描述供应商的“公章”是指根据我国对公章的管理规定，用供应商法定主体行为名称制作的印章，除本竞争性磋商文件有特殊规定外，供应商的财务章、部门章、分公司章、工会章、合同章、竞标专用章、业务专用章等其它形式印章均不能代替公章。</w:t>
            </w:r>
          </w:p>
        </w:tc>
      </w:tr>
      <w:tr w14:paraId="3C092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vAlign w:val="center"/>
          </w:tcPr>
          <w:p w14:paraId="288D820D">
            <w:pPr>
              <w:spacing w:line="440" w:lineRule="exact"/>
              <w:jc w:val="center"/>
              <w:rPr>
                <w:rFonts w:ascii="宋体" w:hAnsi="宋体"/>
                <w:color w:val="auto"/>
                <w:szCs w:val="21"/>
                <w:highlight w:val="none"/>
              </w:rPr>
            </w:pPr>
            <w:r>
              <w:rPr>
                <w:rFonts w:hint="eastAsia" w:ascii="宋体" w:hAnsi="宋体"/>
                <w:color w:val="auto"/>
                <w:szCs w:val="21"/>
                <w:highlight w:val="none"/>
              </w:rPr>
              <w:t>16</w:t>
            </w:r>
          </w:p>
        </w:tc>
        <w:tc>
          <w:tcPr>
            <w:tcW w:w="1036" w:type="dxa"/>
            <w:vAlign w:val="center"/>
          </w:tcPr>
          <w:p w14:paraId="251D178F">
            <w:pPr>
              <w:spacing w:line="440" w:lineRule="exact"/>
              <w:jc w:val="center"/>
              <w:rPr>
                <w:rFonts w:ascii="宋体" w:hAnsi="宋体"/>
                <w:color w:val="auto"/>
                <w:szCs w:val="21"/>
                <w:highlight w:val="none"/>
              </w:rPr>
            </w:pPr>
            <w:r>
              <w:rPr>
                <w:rFonts w:hint="eastAsia" w:ascii="宋体" w:hAnsi="宋体"/>
                <w:color w:val="auto"/>
                <w:szCs w:val="21"/>
                <w:highlight w:val="none"/>
              </w:rPr>
              <w:t>16.1</w:t>
            </w:r>
          </w:p>
        </w:tc>
        <w:tc>
          <w:tcPr>
            <w:tcW w:w="7579" w:type="dxa"/>
            <w:vAlign w:val="center"/>
          </w:tcPr>
          <w:p w14:paraId="54A007B6">
            <w:pPr>
              <w:snapToGrid w:val="0"/>
              <w:spacing w:line="360" w:lineRule="auto"/>
              <w:rPr>
                <w:rFonts w:ascii="宋体" w:hAnsi="宋体"/>
                <w:color w:val="auto"/>
                <w:szCs w:val="21"/>
                <w:highlight w:val="none"/>
              </w:rPr>
            </w:pPr>
            <w:r>
              <w:rPr>
                <w:rFonts w:hint="eastAsia" w:ascii="宋体" w:hAnsi="宋体"/>
                <w:color w:val="auto"/>
                <w:szCs w:val="21"/>
                <w:highlight w:val="none"/>
              </w:rPr>
              <w:t>负偏离要求：</w:t>
            </w:r>
          </w:p>
          <w:p w14:paraId="04518970">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商务条款评审中允许负偏离的条款数为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p w14:paraId="565D2EB1">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服务需求评审中允许负偏离的条款数为</w:t>
            </w:r>
            <w:r>
              <w:rPr>
                <w:rFonts w:hint="eastAsia" w:ascii="宋体" w:hAnsi="宋体" w:cs="宋体"/>
                <w:color w:val="auto"/>
                <w:szCs w:val="21"/>
                <w:highlight w:val="none"/>
                <w:u w:val="single"/>
              </w:rPr>
              <w:t xml:space="preserve"> 0</w:t>
            </w:r>
            <w:r>
              <w:rPr>
                <w:rFonts w:hint="eastAsia" w:ascii="宋体" w:hAnsi="宋体" w:cs="宋体"/>
                <w:color w:val="auto"/>
                <w:szCs w:val="21"/>
                <w:highlight w:val="none"/>
              </w:rPr>
              <w:t>项。</w:t>
            </w:r>
          </w:p>
        </w:tc>
      </w:tr>
    </w:tbl>
    <w:p w14:paraId="417AA5A0">
      <w:pPr>
        <w:spacing w:line="400" w:lineRule="exact"/>
        <w:jc w:val="center"/>
        <w:rPr>
          <w:rFonts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 xml:space="preserve">  供应商须知</w:t>
      </w:r>
    </w:p>
    <w:p w14:paraId="6B01CC8F">
      <w:pPr>
        <w:spacing w:line="340" w:lineRule="exact"/>
        <w:rPr>
          <w:rFonts w:ascii="宋体" w:hAnsi="宋体"/>
          <w:color w:val="auto"/>
          <w:szCs w:val="21"/>
          <w:highlight w:val="none"/>
        </w:rPr>
      </w:pPr>
    </w:p>
    <w:p w14:paraId="61969D27">
      <w:pPr>
        <w:spacing w:line="440" w:lineRule="exact"/>
        <w:rPr>
          <w:rFonts w:ascii="宋体" w:hAnsi="宋体"/>
          <w:b/>
          <w:color w:val="auto"/>
          <w:szCs w:val="21"/>
          <w:highlight w:val="none"/>
        </w:rPr>
      </w:pPr>
      <w:r>
        <w:rPr>
          <w:rFonts w:hint="eastAsia" w:ascii="宋体" w:hAnsi="宋体"/>
          <w:b/>
          <w:color w:val="auto"/>
          <w:szCs w:val="21"/>
          <w:highlight w:val="none"/>
        </w:rPr>
        <w:t>一、总　则</w:t>
      </w:r>
    </w:p>
    <w:p w14:paraId="1F24DF07">
      <w:pPr>
        <w:spacing w:line="440" w:lineRule="exact"/>
        <w:rPr>
          <w:rFonts w:ascii="宋体" w:hAnsi="宋体"/>
          <w:b/>
          <w:bCs/>
          <w:color w:val="auto"/>
          <w:szCs w:val="21"/>
          <w:highlight w:val="none"/>
        </w:rPr>
      </w:pPr>
      <w:r>
        <w:rPr>
          <w:rFonts w:hint="eastAsia" w:ascii="宋体" w:hAnsi="宋体"/>
          <w:b/>
          <w:bCs/>
          <w:color w:val="auto"/>
          <w:szCs w:val="21"/>
          <w:highlight w:val="none"/>
        </w:rPr>
        <w:t>1. 适用范围</w:t>
      </w:r>
    </w:p>
    <w:p w14:paraId="17082438">
      <w:pPr>
        <w:spacing w:line="440" w:lineRule="exact"/>
        <w:ind w:left="420" w:hanging="420"/>
        <w:rPr>
          <w:rFonts w:ascii="宋体" w:hAnsi="宋体"/>
          <w:color w:val="auto"/>
          <w:szCs w:val="21"/>
          <w:highlight w:val="none"/>
        </w:rPr>
      </w:pPr>
      <w:r>
        <w:rPr>
          <w:rFonts w:hint="eastAsia" w:ascii="宋体" w:hAnsi="宋体"/>
          <w:color w:val="auto"/>
          <w:szCs w:val="21"/>
          <w:highlight w:val="none"/>
        </w:rPr>
        <w:t>1.1 本文件仅适用于本文件中所叙述的货物、服务类采购项目。</w:t>
      </w:r>
    </w:p>
    <w:p w14:paraId="35ABCE31">
      <w:pPr>
        <w:spacing w:line="440" w:lineRule="exact"/>
        <w:rPr>
          <w:rFonts w:ascii="宋体" w:hAnsi="宋体"/>
          <w:b/>
          <w:color w:val="auto"/>
          <w:szCs w:val="21"/>
          <w:highlight w:val="none"/>
        </w:rPr>
      </w:pPr>
      <w:r>
        <w:rPr>
          <w:rFonts w:hint="eastAsia" w:ascii="宋体" w:hAnsi="宋体"/>
          <w:b/>
          <w:color w:val="auto"/>
          <w:szCs w:val="21"/>
          <w:highlight w:val="none"/>
        </w:rPr>
        <w:t>2. 定义</w:t>
      </w:r>
    </w:p>
    <w:p w14:paraId="27451A06">
      <w:pPr>
        <w:spacing w:line="440" w:lineRule="exact"/>
        <w:rPr>
          <w:rFonts w:ascii="宋体" w:hAnsi="宋体"/>
          <w:color w:val="auto"/>
          <w:szCs w:val="21"/>
          <w:highlight w:val="none"/>
        </w:rPr>
      </w:pPr>
      <w:r>
        <w:rPr>
          <w:rFonts w:hint="eastAsia" w:ascii="宋体" w:hAnsi="宋体"/>
          <w:color w:val="auto"/>
          <w:szCs w:val="21"/>
          <w:highlight w:val="none"/>
        </w:rPr>
        <w:t>2.1“采购人”是指：</w:t>
      </w:r>
      <w:r>
        <w:rPr>
          <w:rFonts w:hint="eastAsia" w:ascii="宋体" w:hAnsi="宋体"/>
          <w:color w:val="auto"/>
          <w:szCs w:val="21"/>
          <w:highlight w:val="none"/>
          <w:u w:val="single"/>
        </w:rPr>
        <w:t>广西壮族自治区工业和信息化厅</w:t>
      </w:r>
      <w:r>
        <w:rPr>
          <w:rFonts w:hint="eastAsia" w:ascii="宋体" w:hAnsi="宋体"/>
          <w:color w:val="auto"/>
          <w:szCs w:val="21"/>
          <w:highlight w:val="none"/>
        </w:rPr>
        <w:t xml:space="preserve">               </w:t>
      </w:r>
    </w:p>
    <w:p w14:paraId="6DE64C25">
      <w:pPr>
        <w:spacing w:line="440" w:lineRule="exact"/>
        <w:rPr>
          <w:rFonts w:ascii="宋体" w:hAnsi="宋体"/>
          <w:color w:val="auto"/>
          <w:szCs w:val="21"/>
          <w:highlight w:val="none"/>
          <w:u w:val="single"/>
        </w:rPr>
      </w:pPr>
      <w:r>
        <w:rPr>
          <w:rFonts w:hint="eastAsia" w:ascii="宋体" w:hAnsi="宋体"/>
          <w:color w:val="auto"/>
          <w:szCs w:val="21"/>
          <w:highlight w:val="none"/>
        </w:rPr>
        <w:t>2.2“采购代理机构”是指：</w:t>
      </w:r>
      <w:r>
        <w:rPr>
          <w:rFonts w:hint="eastAsia" w:ascii="宋体" w:hAnsi="宋体"/>
          <w:color w:val="auto"/>
          <w:szCs w:val="21"/>
          <w:highlight w:val="none"/>
          <w:u w:val="single"/>
        </w:rPr>
        <w:t>广西建标建设工程咨询有限责任公司</w:t>
      </w:r>
    </w:p>
    <w:p w14:paraId="19996A9E">
      <w:pPr>
        <w:spacing w:line="440" w:lineRule="exact"/>
        <w:rPr>
          <w:rFonts w:ascii="宋体" w:hAnsi="宋体"/>
          <w:color w:val="auto"/>
          <w:szCs w:val="21"/>
          <w:highlight w:val="none"/>
        </w:rPr>
      </w:pPr>
      <w:r>
        <w:rPr>
          <w:rFonts w:hint="eastAsia" w:ascii="宋体" w:hAnsi="宋体"/>
          <w:color w:val="auto"/>
          <w:szCs w:val="21"/>
          <w:highlight w:val="none"/>
        </w:rPr>
        <w:t>2.3“供应商”是指响应本文件要求，参加磋商的法人或者其他组织。如果该供应商在本次磋商中成交，即成为“成交供应商”。</w:t>
      </w:r>
    </w:p>
    <w:p w14:paraId="5007CF52">
      <w:pPr>
        <w:spacing w:line="440" w:lineRule="exact"/>
        <w:ind w:left="420" w:hanging="420"/>
        <w:rPr>
          <w:rFonts w:ascii="宋体" w:hAnsi="宋体"/>
          <w:color w:val="auto"/>
          <w:szCs w:val="21"/>
          <w:highlight w:val="none"/>
        </w:rPr>
      </w:pPr>
      <w:r>
        <w:rPr>
          <w:rFonts w:hint="eastAsia" w:ascii="宋体" w:hAnsi="宋体"/>
          <w:color w:val="auto"/>
          <w:szCs w:val="21"/>
          <w:highlight w:val="none"/>
        </w:rPr>
        <w:t>2.4“货物”是指各种形态和种类的物品，包括原材料、燃料、设备、产品等。</w:t>
      </w:r>
    </w:p>
    <w:p w14:paraId="2EDEDC78">
      <w:pPr>
        <w:spacing w:line="440" w:lineRule="exact"/>
        <w:ind w:left="420" w:hanging="420"/>
        <w:rPr>
          <w:rFonts w:ascii="宋体" w:hAnsi="宋体"/>
          <w:color w:val="auto"/>
          <w:szCs w:val="21"/>
          <w:highlight w:val="none"/>
        </w:rPr>
      </w:pPr>
      <w:r>
        <w:rPr>
          <w:rFonts w:hint="eastAsia" w:ascii="宋体" w:hAnsi="宋体"/>
          <w:color w:val="auto"/>
          <w:szCs w:val="21"/>
          <w:highlight w:val="none"/>
        </w:rPr>
        <w:t>2.5“服务”是指除货物和工程以外的其他采购对象。</w:t>
      </w:r>
    </w:p>
    <w:p w14:paraId="549B5741">
      <w:pPr>
        <w:spacing w:line="440" w:lineRule="exact"/>
        <w:rPr>
          <w:rFonts w:ascii="宋体" w:hAnsi="宋体"/>
          <w:color w:val="auto"/>
          <w:szCs w:val="21"/>
          <w:highlight w:val="none"/>
        </w:rPr>
      </w:pPr>
      <w:r>
        <w:rPr>
          <w:rFonts w:hint="eastAsia" w:ascii="宋体" w:hAnsi="宋体"/>
          <w:color w:val="auto"/>
          <w:szCs w:val="21"/>
          <w:highlight w:val="none"/>
        </w:rPr>
        <w:t>2.6“响应文件”是指：供应商根据本文件要求，编制包含报价、商务、技术等所有内容的响应文件。</w:t>
      </w:r>
    </w:p>
    <w:p w14:paraId="24ACDB5E">
      <w:pPr>
        <w:spacing w:line="440" w:lineRule="exact"/>
        <w:rPr>
          <w:rFonts w:ascii="宋体" w:hAnsi="宋体"/>
          <w:color w:val="auto"/>
          <w:szCs w:val="21"/>
          <w:highlight w:val="none"/>
        </w:rPr>
      </w:pPr>
      <w:r>
        <w:rPr>
          <w:rFonts w:hint="eastAsia" w:ascii="宋体" w:hAnsi="宋体"/>
          <w:color w:val="auto"/>
          <w:szCs w:val="21"/>
          <w:highlight w:val="none"/>
        </w:rPr>
        <w:t>2.7磋商供应商“</w:t>
      </w:r>
      <w:r>
        <w:rPr>
          <w:rFonts w:ascii="宋体" w:hAnsi="宋体"/>
          <w:color w:val="auto"/>
          <w:szCs w:val="21"/>
          <w:highlight w:val="none"/>
        </w:rPr>
        <w:t>相互串通</w:t>
      </w:r>
      <w:r>
        <w:rPr>
          <w:rFonts w:hint="eastAsia" w:ascii="宋体" w:hAnsi="宋体"/>
          <w:color w:val="auto"/>
          <w:szCs w:val="21"/>
          <w:highlight w:val="none"/>
        </w:rPr>
        <w:t>竞</w:t>
      </w:r>
      <w:r>
        <w:rPr>
          <w:rFonts w:ascii="宋体" w:hAnsi="宋体"/>
          <w:color w:val="auto"/>
          <w:szCs w:val="21"/>
          <w:highlight w:val="none"/>
        </w:rPr>
        <w:t>标</w:t>
      </w:r>
      <w:r>
        <w:rPr>
          <w:rFonts w:hint="eastAsia" w:ascii="宋体" w:hAnsi="宋体"/>
          <w:color w:val="auto"/>
          <w:szCs w:val="21"/>
          <w:highlight w:val="none"/>
        </w:rPr>
        <w:t>行为”指：</w:t>
      </w:r>
    </w:p>
    <w:p w14:paraId="66E2BD8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1</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由同一单位或者个人编制；或不同</w:t>
      </w:r>
      <w:r>
        <w:rPr>
          <w:rFonts w:hint="eastAsia" w:ascii="宋体" w:hAnsi="宋体"/>
          <w:color w:val="auto"/>
          <w:szCs w:val="21"/>
          <w:highlight w:val="none"/>
        </w:rPr>
        <w:t>竞标人</w:t>
      </w:r>
      <w:r>
        <w:rPr>
          <w:rFonts w:ascii="宋体" w:hAnsi="宋体"/>
          <w:color w:val="auto"/>
          <w:szCs w:val="21"/>
          <w:highlight w:val="none"/>
        </w:rPr>
        <w:t>报名的IP地址一致的;</w:t>
      </w:r>
    </w:p>
    <w:p w14:paraId="41B40071">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2</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委托同一单位或者个人办理投标事宜;</w:t>
      </w:r>
    </w:p>
    <w:p w14:paraId="4F5333D0">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）不同的</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载明的项目管理员为同一个人;</w:t>
      </w:r>
    </w:p>
    <w:p w14:paraId="448EC3C6">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4</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异常一致或投标报价呈规律性差异;</w:t>
      </w:r>
    </w:p>
    <w:p w14:paraId="5DE45CD8">
      <w:pPr>
        <w:spacing w:line="440" w:lineRule="exact"/>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5</w:t>
      </w:r>
      <w:r>
        <w:rPr>
          <w:rFonts w:ascii="宋体" w:hAnsi="宋体"/>
          <w:color w:val="auto"/>
          <w:szCs w:val="21"/>
          <w:highlight w:val="none"/>
        </w:rPr>
        <w:t>）不同</w:t>
      </w:r>
      <w:r>
        <w:rPr>
          <w:rFonts w:hint="eastAsia" w:ascii="宋体" w:hAnsi="宋体"/>
          <w:color w:val="auto"/>
          <w:szCs w:val="21"/>
          <w:highlight w:val="none"/>
        </w:rPr>
        <w:t>“磋商供应商”</w:t>
      </w:r>
      <w:r>
        <w:rPr>
          <w:rFonts w:ascii="宋体" w:hAnsi="宋体"/>
          <w:color w:val="auto"/>
          <w:szCs w:val="21"/>
          <w:highlight w:val="none"/>
        </w:rPr>
        <w:t>的</w:t>
      </w:r>
      <w:r>
        <w:rPr>
          <w:rFonts w:hint="eastAsia" w:ascii="宋体" w:hAnsi="宋体"/>
          <w:color w:val="auto"/>
          <w:szCs w:val="21"/>
          <w:highlight w:val="none"/>
        </w:rPr>
        <w:t>“竞争性磋商响应文件”</w:t>
      </w:r>
      <w:r>
        <w:rPr>
          <w:rFonts w:ascii="宋体" w:hAnsi="宋体"/>
          <w:color w:val="auto"/>
          <w:szCs w:val="21"/>
          <w:highlight w:val="none"/>
        </w:rPr>
        <w:t>相互混装;</w:t>
      </w:r>
    </w:p>
    <w:p w14:paraId="793D1FA7">
      <w:pPr>
        <w:spacing w:line="440" w:lineRule="exact"/>
        <w:rPr>
          <w:rFonts w:ascii="宋体" w:hAnsi="宋体"/>
          <w:b/>
          <w:color w:val="auto"/>
          <w:szCs w:val="21"/>
          <w:highlight w:val="none"/>
        </w:rPr>
      </w:pPr>
      <w:r>
        <w:rPr>
          <w:rFonts w:hint="eastAsia" w:ascii="宋体" w:hAnsi="宋体"/>
          <w:b/>
          <w:bCs/>
          <w:color w:val="auto"/>
          <w:szCs w:val="21"/>
          <w:highlight w:val="none"/>
        </w:rPr>
        <w:t>3.</w:t>
      </w:r>
      <w:r>
        <w:rPr>
          <w:rFonts w:hint="eastAsia" w:ascii="宋体" w:hAnsi="宋体"/>
          <w:b/>
          <w:color w:val="auto"/>
          <w:szCs w:val="21"/>
          <w:highlight w:val="none"/>
        </w:rPr>
        <w:t>合格的竞标人资格要求</w:t>
      </w:r>
    </w:p>
    <w:p w14:paraId="10A41914">
      <w:pPr>
        <w:spacing w:line="440" w:lineRule="exact"/>
        <w:ind w:firstLine="424" w:firstLineChars="202"/>
        <w:rPr>
          <w:rFonts w:ascii="宋体" w:hAnsi="宋体"/>
          <w:bCs/>
          <w:color w:val="auto"/>
          <w:szCs w:val="21"/>
          <w:highlight w:val="none"/>
        </w:rPr>
      </w:pPr>
      <w:r>
        <w:rPr>
          <w:rFonts w:hint="eastAsia" w:ascii="宋体" w:hAnsi="宋体" w:cs="宋体"/>
          <w:color w:val="auto"/>
          <w:szCs w:val="21"/>
          <w:highlight w:val="none"/>
        </w:rPr>
        <w:t>3.1</w:t>
      </w:r>
      <w:r>
        <w:rPr>
          <w:rFonts w:hint="eastAsia" w:ascii="宋体" w:hAnsi="宋体"/>
          <w:color w:val="auto"/>
          <w:szCs w:val="21"/>
          <w:highlight w:val="none"/>
        </w:rPr>
        <w:t>供应商的基本条件：见供应商须知前附表。</w:t>
      </w:r>
    </w:p>
    <w:p w14:paraId="035ABE03">
      <w:pPr>
        <w:spacing w:line="440" w:lineRule="exact"/>
        <w:ind w:firstLine="424" w:firstLineChars="202"/>
        <w:rPr>
          <w:rFonts w:ascii="宋体" w:hAnsi="宋体" w:cs="宋体"/>
          <w:color w:val="auto"/>
          <w:szCs w:val="21"/>
          <w:highlight w:val="none"/>
        </w:rPr>
      </w:pPr>
      <w:r>
        <w:rPr>
          <w:rFonts w:hint="eastAsia" w:ascii="宋体" w:hAnsi="宋体"/>
          <w:color w:val="auto"/>
          <w:highlight w:val="none"/>
        </w:rPr>
        <w:t xml:space="preserve">3.2  </w:t>
      </w:r>
      <w:r>
        <w:rPr>
          <w:rFonts w:ascii="宋体" w:hAnsi="宋体"/>
          <w:color w:val="auto"/>
          <w:highlight w:val="none"/>
        </w:rPr>
        <w:t>本项目</w:t>
      </w:r>
      <w:r>
        <w:rPr>
          <w:rFonts w:hint="eastAsia" w:ascii="宋体" w:hAnsi="宋体"/>
          <w:color w:val="auto"/>
          <w:highlight w:val="none"/>
        </w:rPr>
        <w:t>不</w:t>
      </w:r>
      <w:r>
        <w:rPr>
          <w:rFonts w:ascii="宋体" w:hAnsi="宋体"/>
          <w:color w:val="auto"/>
          <w:highlight w:val="none"/>
        </w:rPr>
        <w:t>接受联合体投标。</w:t>
      </w:r>
    </w:p>
    <w:p w14:paraId="41880956">
      <w:pPr>
        <w:spacing w:line="440" w:lineRule="exact"/>
        <w:rPr>
          <w:rFonts w:ascii="宋体" w:hAnsi="宋体"/>
          <w:b/>
          <w:color w:val="auto"/>
          <w:szCs w:val="21"/>
          <w:highlight w:val="none"/>
        </w:rPr>
      </w:pPr>
      <w:r>
        <w:rPr>
          <w:rFonts w:hint="eastAsia" w:ascii="宋体" w:hAnsi="宋体"/>
          <w:b/>
          <w:color w:val="auto"/>
          <w:szCs w:val="21"/>
          <w:highlight w:val="none"/>
        </w:rPr>
        <w:t>4. 磋商费用</w:t>
      </w:r>
    </w:p>
    <w:p w14:paraId="279DE78E">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4.1 供应商应自行承担所有与编写和提交响应文件有关的费用，不论磋商结果如何，采购人和采购代理机构在任何情况下无义务和责任承担此类费用。</w:t>
      </w:r>
    </w:p>
    <w:p w14:paraId="6D504FC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4.2本项目代理服务费：见供应商须知前附表。</w:t>
      </w:r>
    </w:p>
    <w:p w14:paraId="59D5F122">
      <w:pPr>
        <w:spacing w:line="440" w:lineRule="exact"/>
        <w:rPr>
          <w:rFonts w:ascii="宋体" w:hAnsi="宋体"/>
          <w:b/>
          <w:color w:val="auto"/>
          <w:szCs w:val="21"/>
          <w:highlight w:val="none"/>
        </w:rPr>
      </w:pPr>
      <w:r>
        <w:rPr>
          <w:rFonts w:hint="eastAsia" w:ascii="宋体" w:hAnsi="宋体"/>
          <w:b/>
          <w:color w:val="auto"/>
          <w:szCs w:val="21"/>
          <w:highlight w:val="none"/>
        </w:rPr>
        <w:t>5.</w:t>
      </w:r>
      <w:r>
        <w:rPr>
          <w:rFonts w:hint="eastAsia"/>
          <w:b/>
          <w:color w:val="auto"/>
          <w:highlight w:val="none"/>
        </w:rPr>
        <w:t xml:space="preserve"> </w:t>
      </w:r>
      <w:r>
        <w:rPr>
          <w:rFonts w:hint="eastAsia" w:ascii="宋体" w:hAnsi="宋体"/>
          <w:b/>
          <w:color w:val="auto"/>
          <w:szCs w:val="21"/>
          <w:highlight w:val="none"/>
        </w:rPr>
        <w:t xml:space="preserve">竞争性磋商文件（以下简称磋商文件）的澄清与修改 </w:t>
      </w:r>
    </w:p>
    <w:p w14:paraId="2E0B904C">
      <w:pPr>
        <w:spacing w:line="440" w:lineRule="exact"/>
        <w:ind w:firstLine="420" w:firstLineChars="200"/>
        <w:rPr>
          <w:rFonts w:ascii="宋体" w:hAnsi="宋体"/>
          <w:color w:val="auto"/>
          <w:sz w:val="18"/>
          <w:szCs w:val="18"/>
          <w:highlight w:val="none"/>
        </w:rPr>
      </w:pPr>
      <w:r>
        <w:rPr>
          <w:rFonts w:hint="eastAsia" w:ascii="宋体" w:hAnsi="宋体"/>
          <w:color w:val="auto"/>
          <w:szCs w:val="21"/>
          <w:highlight w:val="none"/>
        </w:rPr>
        <w:t>5.1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8E64033">
      <w:pPr>
        <w:spacing w:line="440" w:lineRule="exact"/>
        <w:rPr>
          <w:rFonts w:ascii="宋体" w:hAnsi="宋体"/>
          <w:b/>
          <w:color w:val="auto"/>
          <w:szCs w:val="21"/>
          <w:highlight w:val="none"/>
        </w:rPr>
      </w:pPr>
    </w:p>
    <w:p w14:paraId="6917A941">
      <w:pPr>
        <w:spacing w:line="440" w:lineRule="exact"/>
        <w:rPr>
          <w:rFonts w:ascii="宋体" w:hAnsi="宋体"/>
          <w:b/>
          <w:color w:val="auto"/>
          <w:szCs w:val="21"/>
          <w:highlight w:val="none"/>
        </w:rPr>
      </w:pPr>
      <w:r>
        <w:rPr>
          <w:rFonts w:hint="eastAsia" w:ascii="宋体" w:hAnsi="宋体"/>
          <w:b/>
          <w:color w:val="auto"/>
          <w:szCs w:val="21"/>
          <w:highlight w:val="none"/>
        </w:rPr>
        <w:t>二、响应文件的编制</w:t>
      </w:r>
    </w:p>
    <w:p w14:paraId="4EC8B403">
      <w:pPr>
        <w:spacing w:line="440" w:lineRule="exact"/>
        <w:rPr>
          <w:rFonts w:ascii="宋体" w:hAnsi="宋体"/>
          <w:color w:val="auto"/>
          <w:szCs w:val="21"/>
          <w:highlight w:val="none"/>
        </w:rPr>
      </w:pPr>
      <w:r>
        <w:rPr>
          <w:rFonts w:hint="eastAsia" w:ascii="宋体" w:hAnsi="宋体"/>
          <w:color w:val="auto"/>
          <w:szCs w:val="21"/>
          <w:highlight w:val="none"/>
        </w:rPr>
        <w:t>6. 响应文件编制基本要求</w:t>
      </w:r>
    </w:p>
    <w:p w14:paraId="53BB7079">
      <w:pPr>
        <w:spacing w:line="440" w:lineRule="exact"/>
        <w:ind w:left="420" w:hanging="420"/>
        <w:rPr>
          <w:rFonts w:ascii="宋体" w:hAnsi="宋体"/>
          <w:color w:val="auto"/>
          <w:szCs w:val="21"/>
          <w:highlight w:val="none"/>
        </w:rPr>
      </w:pPr>
      <w:r>
        <w:rPr>
          <w:rFonts w:hint="eastAsia" w:ascii="宋体" w:hAnsi="宋体"/>
          <w:color w:val="auto"/>
          <w:szCs w:val="21"/>
          <w:highlight w:val="none"/>
        </w:rPr>
        <w:t>6.1供应商对响应文件的编制应按要求装订和封装。</w:t>
      </w:r>
    </w:p>
    <w:p w14:paraId="615F0DF8">
      <w:pPr>
        <w:spacing w:line="440" w:lineRule="exact"/>
        <w:rPr>
          <w:rFonts w:ascii="宋体" w:hAnsi="宋体"/>
          <w:color w:val="auto"/>
          <w:szCs w:val="21"/>
          <w:highlight w:val="none"/>
        </w:rPr>
      </w:pPr>
      <w:r>
        <w:rPr>
          <w:rFonts w:hint="eastAsia" w:ascii="宋体" w:hAnsi="宋体"/>
          <w:color w:val="auto"/>
          <w:szCs w:val="21"/>
          <w:highlight w:val="none"/>
        </w:rPr>
        <w:t>6.2供应商提交的响应文件以及供应商与</w:t>
      </w:r>
      <w:r>
        <w:rPr>
          <w:rFonts w:hint="eastAsia" w:ascii="宋体" w:hAnsi="宋体"/>
          <w:color w:val="auto"/>
          <w:szCs w:val="21"/>
          <w:highlight w:val="none"/>
          <w:u w:val="single"/>
        </w:rPr>
        <w:t>采购代理机构</w:t>
      </w:r>
      <w:r>
        <w:rPr>
          <w:rFonts w:hint="eastAsia" w:ascii="宋体" w:hAnsi="宋体"/>
          <w:color w:val="auto"/>
          <w:szCs w:val="21"/>
          <w:highlight w:val="none"/>
        </w:rPr>
        <w:t>和采购人就有关磋商的所有来往函电均应使用中文。供应商提交的支持文件和印刷的文献可以使用别的语言，但其相应内容必须附有中文翻译文本，在解释响应文件时以翻译文本为主。</w:t>
      </w:r>
    </w:p>
    <w:p w14:paraId="27F29FF6">
      <w:pPr>
        <w:spacing w:line="440" w:lineRule="exact"/>
        <w:rPr>
          <w:rFonts w:ascii="宋体" w:hAnsi="宋体"/>
          <w:color w:val="auto"/>
          <w:szCs w:val="21"/>
          <w:highlight w:val="none"/>
        </w:rPr>
      </w:pPr>
      <w:r>
        <w:rPr>
          <w:rFonts w:hint="eastAsia" w:ascii="宋体" w:hAnsi="宋体"/>
          <w:color w:val="auto"/>
          <w:szCs w:val="21"/>
          <w:highlight w:val="none"/>
        </w:rPr>
        <w:t>6.3供应商应认真阅读、并充分理解本文件的全部内容（包括所有的补充、修改内容），承诺并履行本文件中各项条款规定及要求。</w:t>
      </w:r>
    </w:p>
    <w:p w14:paraId="5A31D91E">
      <w:pPr>
        <w:spacing w:line="440" w:lineRule="exact"/>
        <w:ind w:left="420" w:hanging="420"/>
        <w:rPr>
          <w:rFonts w:ascii="宋体" w:hAnsi="宋体"/>
          <w:color w:val="auto"/>
          <w:szCs w:val="21"/>
          <w:highlight w:val="none"/>
        </w:rPr>
      </w:pPr>
      <w:r>
        <w:rPr>
          <w:rFonts w:hint="eastAsia" w:ascii="宋体" w:hAnsi="宋体"/>
          <w:color w:val="auto"/>
          <w:szCs w:val="21"/>
          <w:highlight w:val="none"/>
        </w:rPr>
        <w:t>6.4响应文件必须按本文件的全部内容，包括所有的补充通知及附件进行编制。</w:t>
      </w:r>
    </w:p>
    <w:p w14:paraId="35CA54FC">
      <w:pPr>
        <w:spacing w:line="440" w:lineRule="exact"/>
        <w:rPr>
          <w:rFonts w:ascii="宋体" w:hAnsi="宋体"/>
          <w:color w:val="auto"/>
          <w:szCs w:val="21"/>
          <w:highlight w:val="none"/>
        </w:rPr>
      </w:pPr>
      <w:r>
        <w:rPr>
          <w:rFonts w:hint="eastAsia" w:ascii="宋体" w:hAnsi="宋体"/>
          <w:color w:val="auto"/>
          <w:szCs w:val="21"/>
          <w:highlight w:val="none"/>
        </w:rPr>
        <w:t>6.5如因供应商只填写和提供了本文件要求的部分内容和附件，而给评审造成困难，其可能导致的结果和责任由供应商自行承担。</w:t>
      </w:r>
    </w:p>
    <w:p w14:paraId="71A880C4">
      <w:pPr>
        <w:spacing w:line="440" w:lineRule="exact"/>
        <w:rPr>
          <w:rFonts w:ascii="宋体" w:hAnsi="宋体"/>
          <w:color w:val="auto"/>
          <w:szCs w:val="21"/>
          <w:highlight w:val="none"/>
        </w:rPr>
      </w:pPr>
      <w:r>
        <w:rPr>
          <w:rFonts w:hint="eastAsia" w:ascii="宋体" w:hAnsi="宋体"/>
          <w:color w:val="auto"/>
          <w:szCs w:val="21"/>
          <w:highlight w:val="none"/>
        </w:rPr>
        <w:t>6.6响应文件的组成：响应文件应分为报价文件、技术文件和商务文件三个部分组成。</w:t>
      </w:r>
    </w:p>
    <w:p w14:paraId="1DA24298">
      <w:pPr>
        <w:spacing w:line="440" w:lineRule="exact"/>
        <w:rPr>
          <w:rFonts w:ascii="宋体" w:hAnsi="宋体"/>
          <w:color w:val="auto"/>
          <w:szCs w:val="21"/>
          <w:highlight w:val="none"/>
        </w:rPr>
      </w:pPr>
      <w:r>
        <w:rPr>
          <w:rFonts w:hint="eastAsia" w:ascii="宋体" w:hAnsi="宋体"/>
          <w:color w:val="auto"/>
          <w:szCs w:val="21"/>
          <w:highlight w:val="none"/>
        </w:rPr>
        <w:t>6.6.1报价文件部分：见供应商须知前附表。</w:t>
      </w:r>
    </w:p>
    <w:p w14:paraId="1F2ABBFC">
      <w:pPr>
        <w:spacing w:line="440" w:lineRule="exact"/>
        <w:rPr>
          <w:rFonts w:ascii="宋体" w:hAnsi="宋体"/>
          <w:color w:val="auto"/>
          <w:szCs w:val="21"/>
          <w:highlight w:val="none"/>
        </w:rPr>
      </w:pPr>
      <w:r>
        <w:rPr>
          <w:rFonts w:hint="eastAsia" w:ascii="宋体" w:hAnsi="宋体"/>
          <w:color w:val="auto"/>
          <w:szCs w:val="21"/>
          <w:highlight w:val="none"/>
        </w:rPr>
        <w:t>6.6.2 商务、技术文件部分：见供应商须知前附表。</w:t>
      </w:r>
    </w:p>
    <w:p w14:paraId="5A54F9C9">
      <w:pPr>
        <w:spacing w:line="440" w:lineRule="exact"/>
        <w:rPr>
          <w:rFonts w:ascii="宋体" w:hAnsi="宋体"/>
          <w:color w:val="auto"/>
          <w:szCs w:val="21"/>
          <w:highlight w:val="none"/>
        </w:rPr>
      </w:pPr>
      <w:r>
        <w:rPr>
          <w:rFonts w:hint="eastAsia" w:ascii="宋体" w:hAnsi="宋体"/>
          <w:color w:val="auto"/>
          <w:szCs w:val="21"/>
          <w:highlight w:val="none"/>
        </w:rPr>
        <w:t>6.7响应文件电子版：见供应商须知前附表。</w:t>
      </w:r>
    </w:p>
    <w:p w14:paraId="7943D57D">
      <w:pPr>
        <w:spacing w:line="440" w:lineRule="exact"/>
        <w:rPr>
          <w:rFonts w:ascii="宋体" w:hAnsi="宋体"/>
          <w:color w:val="auto"/>
          <w:szCs w:val="21"/>
          <w:highlight w:val="none"/>
        </w:rPr>
      </w:pPr>
      <w:r>
        <w:rPr>
          <w:rFonts w:hint="eastAsia" w:ascii="宋体" w:hAnsi="宋体"/>
          <w:color w:val="auto"/>
          <w:szCs w:val="21"/>
          <w:highlight w:val="none"/>
        </w:rPr>
        <w:t>6.8响应文件有效期：见供应商须知前附表。</w:t>
      </w:r>
    </w:p>
    <w:p w14:paraId="3C32628B">
      <w:pPr>
        <w:spacing w:line="440" w:lineRule="exact"/>
        <w:rPr>
          <w:rFonts w:ascii="宋体" w:hAnsi="宋体"/>
          <w:color w:val="auto"/>
          <w:szCs w:val="21"/>
          <w:highlight w:val="none"/>
        </w:rPr>
      </w:pPr>
      <w:r>
        <w:rPr>
          <w:rFonts w:hint="eastAsia" w:ascii="宋体" w:hAnsi="宋体"/>
          <w:color w:val="auto"/>
          <w:szCs w:val="21"/>
          <w:highlight w:val="none"/>
        </w:rPr>
        <w:t>6.9磋商保证金：见供应商须知前附表。</w:t>
      </w:r>
    </w:p>
    <w:p w14:paraId="289B05D3">
      <w:pPr>
        <w:spacing w:line="440" w:lineRule="exact"/>
        <w:rPr>
          <w:rFonts w:ascii="宋体" w:hAnsi="宋体"/>
          <w:color w:val="auto"/>
          <w:szCs w:val="21"/>
          <w:highlight w:val="none"/>
        </w:rPr>
      </w:pPr>
      <w:r>
        <w:rPr>
          <w:rFonts w:hint="eastAsia" w:ascii="宋体" w:hAnsi="宋体"/>
          <w:color w:val="auto"/>
          <w:szCs w:val="21"/>
          <w:highlight w:val="none"/>
        </w:rPr>
        <w:t>7. 计量单位</w:t>
      </w:r>
    </w:p>
    <w:p w14:paraId="42353469">
      <w:pPr>
        <w:spacing w:line="440" w:lineRule="exact"/>
        <w:ind w:left="420" w:hanging="420"/>
        <w:rPr>
          <w:rFonts w:ascii="宋体" w:hAnsi="宋体"/>
          <w:color w:val="auto"/>
          <w:szCs w:val="21"/>
          <w:highlight w:val="none"/>
        </w:rPr>
      </w:pPr>
      <w:r>
        <w:rPr>
          <w:rFonts w:hint="eastAsia" w:ascii="宋体" w:hAnsi="宋体"/>
          <w:color w:val="auto"/>
          <w:szCs w:val="21"/>
          <w:highlight w:val="none"/>
        </w:rPr>
        <w:t>7.1除技术要求中另有规定外，本文件所要求使用的计量单位均应采用国家法定计量单位。</w:t>
      </w:r>
    </w:p>
    <w:p w14:paraId="137715B0">
      <w:pPr>
        <w:spacing w:line="440" w:lineRule="exact"/>
        <w:rPr>
          <w:rFonts w:ascii="宋体" w:hAnsi="宋体"/>
          <w:b/>
          <w:color w:val="auto"/>
          <w:szCs w:val="21"/>
          <w:highlight w:val="none"/>
        </w:rPr>
      </w:pPr>
    </w:p>
    <w:p w14:paraId="1AEC341D">
      <w:pPr>
        <w:spacing w:line="440" w:lineRule="exact"/>
        <w:rPr>
          <w:rFonts w:ascii="宋体" w:hAnsi="宋体"/>
          <w:b/>
          <w:color w:val="auto"/>
          <w:szCs w:val="21"/>
          <w:highlight w:val="none"/>
        </w:rPr>
      </w:pPr>
      <w:r>
        <w:rPr>
          <w:rFonts w:hint="eastAsia" w:ascii="宋体" w:hAnsi="宋体"/>
          <w:b/>
          <w:color w:val="auto"/>
          <w:szCs w:val="21"/>
          <w:highlight w:val="none"/>
        </w:rPr>
        <w:t>三、磋商报价要求</w:t>
      </w:r>
    </w:p>
    <w:p w14:paraId="4429A72B">
      <w:pPr>
        <w:spacing w:line="440" w:lineRule="exact"/>
        <w:rPr>
          <w:rFonts w:ascii="宋体" w:hAnsi="宋体"/>
          <w:color w:val="auto"/>
          <w:szCs w:val="21"/>
          <w:highlight w:val="none"/>
        </w:rPr>
      </w:pPr>
      <w:r>
        <w:rPr>
          <w:rFonts w:hint="eastAsia" w:ascii="宋体" w:hAnsi="宋体"/>
          <w:color w:val="auto"/>
          <w:szCs w:val="21"/>
          <w:highlight w:val="none"/>
        </w:rPr>
        <w:t>8.1对于本文件中未列明，而供应商认为必需的费用也需列入总报价。在合同实施时，采购人将不予支付成交供应商没有列入的项目费用，并认为此项目的费用已包括在总报价中。</w:t>
      </w:r>
    </w:p>
    <w:p w14:paraId="0C569E29">
      <w:pPr>
        <w:spacing w:line="440" w:lineRule="exact"/>
        <w:ind w:left="420" w:hanging="420"/>
        <w:rPr>
          <w:rFonts w:ascii="宋体" w:hAnsi="宋体"/>
          <w:color w:val="auto"/>
          <w:szCs w:val="21"/>
          <w:highlight w:val="none"/>
        </w:rPr>
      </w:pPr>
      <w:r>
        <w:rPr>
          <w:rFonts w:hint="eastAsia" w:ascii="宋体" w:hAnsi="宋体"/>
          <w:color w:val="auto"/>
          <w:szCs w:val="21"/>
          <w:highlight w:val="none"/>
        </w:rPr>
        <w:t>8.2成交供应商负责本项目所需货物的制造、运输、售后服务等全部工作。</w:t>
      </w:r>
    </w:p>
    <w:p w14:paraId="0E5623E7">
      <w:pPr>
        <w:spacing w:line="440" w:lineRule="exact"/>
        <w:rPr>
          <w:rFonts w:ascii="宋体" w:hAnsi="宋体"/>
          <w:b/>
          <w:color w:val="auto"/>
          <w:szCs w:val="21"/>
          <w:highlight w:val="none"/>
        </w:rPr>
      </w:pPr>
    </w:p>
    <w:p w14:paraId="5E7D2404">
      <w:pPr>
        <w:spacing w:line="440" w:lineRule="exact"/>
        <w:rPr>
          <w:rFonts w:ascii="宋体" w:hAnsi="宋体"/>
          <w:b/>
          <w:color w:val="auto"/>
          <w:szCs w:val="21"/>
          <w:highlight w:val="none"/>
        </w:rPr>
      </w:pPr>
      <w:r>
        <w:rPr>
          <w:rFonts w:hint="eastAsia" w:ascii="宋体" w:hAnsi="宋体"/>
          <w:b/>
          <w:color w:val="auto"/>
          <w:szCs w:val="21"/>
          <w:highlight w:val="none"/>
        </w:rPr>
        <w:t>四、响应文件的份数、封装和递交</w:t>
      </w:r>
    </w:p>
    <w:p w14:paraId="78EAF07A">
      <w:pPr>
        <w:spacing w:line="440" w:lineRule="exact"/>
        <w:ind w:left="420" w:hanging="420"/>
        <w:rPr>
          <w:rFonts w:ascii="宋体" w:hAnsi="宋体"/>
          <w:color w:val="auto"/>
          <w:szCs w:val="21"/>
          <w:highlight w:val="none"/>
        </w:rPr>
      </w:pPr>
      <w:r>
        <w:rPr>
          <w:rFonts w:hint="eastAsia" w:ascii="宋体" w:hAnsi="宋体"/>
          <w:color w:val="auto"/>
          <w:szCs w:val="21"/>
          <w:highlight w:val="none"/>
        </w:rPr>
        <w:t>9. 磋商响应文件的份数和封装</w:t>
      </w:r>
    </w:p>
    <w:p w14:paraId="540CCFF9">
      <w:pPr>
        <w:spacing w:line="440" w:lineRule="exact"/>
        <w:rPr>
          <w:rFonts w:ascii="宋体" w:hAnsi="宋体"/>
          <w:color w:val="auto"/>
          <w:szCs w:val="21"/>
          <w:highlight w:val="none"/>
        </w:rPr>
      </w:pPr>
      <w:r>
        <w:rPr>
          <w:rFonts w:hint="eastAsia" w:ascii="宋体" w:hAnsi="宋体"/>
          <w:color w:val="auto"/>
          <w:szCs w:val="21"/>
          <w:highlight w:val="none"/>
        </w:rPr>
        <w:t>9.1供应商应按标项分别编制响应文件，响应文件中报价文件、技术文件、商务文件分别装订成册。特别注意</w:t>
      </w:r>
      <w:r>
        <w:rPr>
          <w:rFonts w:hint="eastAsia" w:ascii="宋体" w:hAnsi="宋体"/>
          <w:color w:val="auto"/>
          <w:szCs w:val="21"/>
          <w:highlight w:val="none"/>
          <w:lang w:eastAsia="zh-CN"/>
        </w:rPr>
        <w:t>竞标</w:t>
      </w:r>
      <w:r>
        <w:rPr>
          <w:rFonts w:hint="eastAsia" w:ascii="宋体" w:hAnsi="宋体"/>
          <w:color w:val="auto"/>
          <w:szCs w:val="21"/>
          <w:highlight w:val="none"/>
        </w:rPr>
        <w:t>报价不得出现在技术文件和商务文件中。磋商响应文件的份数具体要求详见“供应商须知前附表”。</w:t>
      </w:r>
    </w:p>
    <w:p w14:paraId="7A509C99">
      <w:pPr>
        <w:spacing w:line="440" w:lineRule="exact"/>
        <w:rPr>
          <w:rFonts w:ascii="宋体" w:hAnsi="宋体"/>
          <w:color w:val="auto"/>
          <w:szCs w:val="21"/>
          <w:highlight w:val="none"/>
        </w:rPr>
      </w:pPr>
      <w:r>
        <w:rPr>
          <w:rFonts w:hint="eastAsia" w:ascii="宋体" w:hAnsi="宋体"/>
          <w:color w:val="auto"/>
          <w:szCs w:val="21"/>
          <w:highlight w:val="none"/>
        </w:rPr>
        <w:t>9.2 响应文件封装要求：竞标人应将所有响应文件及电子版响应文件密封在一个密封袋中。</w:t>
      </w:r>
    </w:p>
    <w:p w14:paraId="602A9630">
      <w:pPr>
        <w:spacing w:line="440" w:lineRule="exact"/>
        <w:ind w:left="420" w:hanging="420"/>
        <w:rPr>
          <w:rFonts w:ascii="宋体" w:hAnsi="宋体"/>
          <w:color w:val="auto"/>
          <w:szCs w:val="21"/>
          <w:highlight w:val="none"/>
        </w:rPr>
      </w:pPr>
      <w:r>
        <w:rPr>
          <w:rFonts w:hint="eastAsia" w:ascii="宋体" w:hAnsi="宋体"/>
          <w:color w:val="auto"/>
          <w:szCs w:val="21"/>
          <w:highlight w:val="none"/>
        </w:rPr>
        <w:t>9.3响应文件的外封套密封格式详见第五章“响应文件格式”。</w:t>
      </w:r>
    </w:p>
    <w:p w14:paraId="562EFBBF">
      <w:pPr>
        <w:spacing w:line="440" w:lineRule="exact"/>
        <w:ind w:left="420" w:hanging="420"/>
        <w:rPr>
          <w:rFonts w:ascii="宋体" w:hAnsi="宋体"/>
          <w:color w:val="auto"/>
          <w:szCs w:val="21"/>
          <w:highlight w:val="none"/>
        </w:rPr>
      </w:pPr>
      <w:r>
        <w:rPr>
          <w:rFonts w:hint="eastAsia" w:ascii="宋体" w:hAnsi="宋体"/>
          <w:color w:val="auto"/>
          <w:szCs w:val="21"/>
          <w:highlight w:val="none"/>
        </w:rPr>
        <w:t>9.4如果响应文件没有按本竞标人须知第9.1款、第9.2款的规定装订和注明标记及密封，采购人将不承担响应文件提前开封的责任。对由此造成提前开封的响应文件将予以拒绝，并退还给竞标人。</w:t>
      </w:r>
    </w:p>
    <w:p w14:paraId="4CDE3D23">
      <w:pPr>
        <w:spacing w:line="440" w:lineRule="exact"/>
        <w:ind w:left="420" w:hanging="420"/>
        <w:rPr>
          <w:rFonts w:ascii="宋体" w:hAnsi="宋体"/>
          <w:color w:val="auto"/>
          <w:szCs w:val="21"/>
          <w:highlight w:val="none"/>
        </w:rPr>
      </w:pPr>
      <w:r>
        <w:rPr>
          <w:rFonts w:hint="eastAsia" w:ascii="宋体" w:hAnsi="宋体"/>
          <w:color w:val="auto"/>
          <w:szCs w:val="21"/>
          <w:highlight w:val="none"/>
        </w:rPr>
        <w:t>9.5响应文件的密封袋的封口处应盖章或签字。（公章或密封章或法定代表人或其授权委托代理人签字均可）</w:t>
      </w:r>
    </w:p>
    <w:p w14:paraId="3303211A">
      <w:pPr>
        <w:spacing w:line="440" w:lineRule="exact"/>
        <w:ind w:left="420" w:hanging="420"/>
        <w:rPr>
          <w:rFonts w:ascii="宋体" w:hAnsi="宋体"/>
          <w:color w:val="auto"/>
          <w:szCs w:val="21"/>
          <w:highlight w:val="none"/>
        </w:rPr>
      </w:pPr>
      <w:r>
        <w:rPr>
          <w:rFonts w:hint="eastAsia" w:ascii="宋体" w:hAnsi="宋体"/>
          <w:color w:val="auto"/>
          <w:szCs w:val="21"/>
          <w:highlight w:val="none"/>
        </w:rPr>
        <w:t>9.6响应文件的编制应按规定的的有关格式及要求填报。</w:t>
      </w:r>
    </w:p>
    <w:p w14:paraId="3AE897D2">
      <w:pPr>
        <w:spacing w:line="440" w:lineRule="exact"/>
        <w:rPr>
          <w:rFonts w:ascii="宋体" w:hAnsi="宋体"/>
          <w:color w:val="auto"/>
          <w:szCs w:val="21"/>
          <w:highlight w:val="none"/>
        </w:rPr>
      </w:pPr>
      <w:r>
        <w:rPr>
          <w:rFonts w:hint="eastAsia" w:ascii="宋体" w:hAnsi="宋体"/>
          <w:color w:val="auto"/>
          <w:szCs w:val="21"/>
          <w:highlight w:val="none"/>
        </w:rPr>
        <w:t>10. 响应文件的递交</w:t>
      </w:r>
    </w:p>
    <w:p w14:paraId="7A03BC55">
      <w:pPr>
        <w:spacing w:line="440" w:lineRule="exact"/>
        <w:rPr>
          <w:rFonts w:ascii="宋体" w:hAnsi="宋体"/>
          <w:color w:val="auto"/>
          <w:szCs w:val="21"/>
          <w:highlight w:val="none"/>
        </w:rPr>
      </w:pPr>
      <w:r>
        <w:rPr>
          <w:rFonts w:hint="eastAsia" w:ascii="宋体" w:hAnsi="宋体"/>
          <w:color w:val="auto"/>
          <w:szCs w:val="21"/>
          <w:highlight w:val="none"/>
        </w:rPr>
        <w:t>10.1所有响应文件应于竞争性磋商文件中规定的时间前递交到供应商须知前附表规定的地点。</w:t>
      </w:r>
    </w:p>
    <w:p w14:paraId="28F84717">
      <w:pPr>
        <w:spacing w:line="440" w:lineRule="exact"/>
        <w:rPr>
          <w:rFonts w:ascii="宋体" w:hAnsi="宋体"/>
          <w:color w:val="auto"/>
          <w:szCs w:val="21"/>
          <w:highlight w:val="none"/>
        </w:rPr>
      </w:pPr>
      <w:r>
        <w:rPr>
          <w:rFonts w:hint="eastAsia" w:ascii="宋体" w:hAnsi="宋体"/>
          <w:color w:val="auto"/>
          <w:szCs w:val="21"/>
          <w:highlight w:val="none"/>
        </w:rPr>
        <w:t>10.2若遇到竞标过多造成部分供应商在截止时间前已抵达开标现场但未能签到的情况，采购人或采购代理机构将按规定在响应文件递交截止时间关闭大门，禁止迟到的供应商进入递交响应文件，供应商递交响应文件的时间应以其进入磋商文件规定的开标场所的时间为准。</w:t>
      </w:r>
    </w:p>
    <w:p w14:paraId="5668D2DF">
      <w:pPr>
        <w:spacing w:line="440" w:lineRule="exact"/>
        <w:rPr>
          <w:rFonts w:ascii="宋体" w:hAnsi="宋体"/>
          <w:color w:val="auto"/>
          <w:szCs w:val="21"/>
          <w:highlight w:val="none"/>
        </w:rPr>
      </w:pPr>
      <w:r>
        <w:rPr>
          <w:rFonts w:hint="eastAsia" w:ascii="宋体" w:hAnsi="宋体"/>
          <w:color w:val="auto"/>
          <w:szCs w:val="21"/>
          <w:highlight w:val="none"/>
        </w:rPr>
        <w:t>10.3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14:paraId="6AFCAD58">
      <w:pPr>
        <w:spacing w:line="440" w:lineRule="exact"/>
        <w:rPr>
          <w:rFonts w:ascii="宋体" w:hAnsi="宋体"/>
          <w:color w:val="auto"/>
          <w:szCs w:val="21"/>
          <w:highlight w:val="none"/>
        </w:rPr>
      </w:pPr>
      <w:r>
        <w:rPr>
          <w:rFonts w:hint="eastAsia" w:ascii="宋体" w:hAnsi="宋体"/>
          <w:color w:val="auto"/>
          <w:szCs w:val="21"/>
          <w:highlight w:val="none"/>
        </w:rPr>
        <w:t>11.迟交的响应文件</w:t>
      </w:r>
    </w:p>
    <w:p w14:paraId="07A24FA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广西建标建设工程咨询有限责任公司拒绝或原封退回在其规定的递交响应文件截止时间之后收到的任何响应文件。</w:t>
      </w:r>
    </w:p>
    <w:p w14:paraId="309ABBA2">
      <w:pPr>
        <w:spacing w:line="440" w:lineRule="exact"/>
        <w:ind w:firstLine="420" w:firstLineChars="200"/>
        <w:rPr>
          <w:rFonts w:ascii="宋体" w:hAnsi="宋体"/>
          <w:color w:val="auto"/>
          <w:szCs w:val="21"/>
          <w:highlight w:val="none"/>
        </w:rPr>
      </w:pPr>
    </w:p>
    <w:p w14:paraId="38141910">
      <w:pPr>
        <w:spacing w:line="440" w:lineRule="exact"/>
        <w:rPr>
          <w:rFonts w:ascii="宋体" w:hAnsi="宋体"/>
          <w:b/>
          <w:color w:val="auto"/>
          <w:szCs w:val="21"/>
          <w:highlight w:val="none"/>
        </w:rPr>
      </w:pPr>
      <w:r>
        <w:rPr>
          <w:rFonts w:hint="eastAsia" w:ascii="宋体" w:hAnsi="宋体"/>
          <w:b/>
          <w:color w:val="auto"/>
          <w:szCs w:val="21"/>
          <w:highlight w:val="none"/>
        </w:rPr>
        <w:t>五、响应文件评审及磋商的步骤</w:t>
      </w:r>
    </w:p>
    <w:p w14:paraId="71BE5BDC">
      <w:pPr>
        <w:spacing w:line="440" w:lineRule="exact"/>
        <w:rPr>
          <w:rFonts w:ascii="宋体" w:hAnsi="宋体"/>
          <w:color w:val="auto"/>
          <w:szCs w:val="21"/>
          <w:highlight w:val="none"/>
        </w:rPr>
      </w:pPr>
      <w:r>
        <w:rPr>
          <w:rFonts w:hint="eastAsia" w:ascii="宋体" w:hAnsi="宋体" w:cs="宋体"/>
          <w:color w:val="auto"/>
          <w:kern w:val="0"/>
          <w:szCs w:val="21"/>
          <w:highlight w:val="none"/>
        </w:rPr>
        <w:t>12.1</w:t>
      </w:r>
      <w:r>
        <w:rPr>
          <w:rFonts w:ascii="宋体" w:hAnsi="宋体"/>
          <w:color w:val="auto"/>
          <w:szCs w:val="21"/>
          <w:highlight w:val="none"/>
        </w:rPr>
        <w:t>磋商小组</w:t>
      </w:r>
      <w:r>
        <w:rPr>
          <w:rFonts w:hint="eastAsia" w:ascii="宋体" w:hAnsi="宋体"/>
          <w:color w:val="auto"/>
          <w:szCs w:val="21"/>
          <w:highlight w:val="none"/>
        </w:rPr>
        <w:t>确认竞争性磋商文件。</w:t>
      </w:r>
    </w:p>
    <w:p w14:paraId="3233AE5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12.2磋商小组对竞标资格条件及响应文件进行评审，并从符合竞争性磋商文件规定的相应资格条件的供应商名单中确定不少于3家的供应商参加磋商，在评标期间，出现符合专业条件的供应商或者对采购文件作出实质响应的供应商不足2家情形的将按广西政府采购有关规定执行。</w:t>
      </w:r>
    </w:p>
    <w:p w14:paraId="45A0564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资格条件不符合的供应商或未实质性响应磋商文件的响应文件按无效响应处理，磋商小组应当告知有关供应商。</w:t>
      </w:r>
    </w:p>
    <w:p w14:paraId="5DD88ED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12.3第一轮磋商</w:t>
      </w:r>
    </w:p>
    <w:p w14:paraId="060DC5CD">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磋商小组按已确定的磋商顺序，磋商小组所有成员应当集中与单一供应商分别进行磋商，并给予所有参加磋商的供应商平等的磋商机会。</w:t>
      </w:r>
    </w:p>
    <w:p w14:paraId="47A7E5FC">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在磋商过程中，磋商小组可以根据磋商文件和磋商情况实质性变动采购需求中的技术、服务要求以及合同草案条款，但不得变动磋商文件中的其他内容。实质性变动的内容，须经采购人代表确认。</w:t>
      </w:r>
    </w:p>
    <w:p w14:paraId="35CAC19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对磋商文件作出的实质性变动是磋商文件的有效组成部分，磋商小组应当及时以书面形式同时通知所有参加磋商的供应商。</w:t>
      </w:r>
    </w:p>
    <w:p w14:paraId="43FB3B16">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供应商应当按照磋商文件的变动情况和磋商小组的要求重新提交响应文件，并由其法定代表人或授权代表签字或者加盖公章。由授权代表签字的，应当附</w:t>
      </w:r>
      <w:r>
        <w:rPr>
          <w:rFonts w:hint="eastAsia" w:hAnsi="宋体"/>
          <w:color w:val="auto"/>
          <w:highlight w:val="none"/>
        </w:rPr>
        <w:t>法定代表人</w:t>
      </w:r>
      <w:r>
        <w:rPr>
          <w:rFonts w:hint="eastAsia" w:ascii="宋体" w:hAnsi="宋体"/>
          <w:color w:val="auto"/>
          <w:szCs w:val="21"/>
          <w:highlight w:val="none"/>
        </w:rPr>
        <w:t>授权书。</w:t>
      </w:r>
    </w:p>
    <w:p w14:paraId="156288C2">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磋商中，磋商的任何一方不得透露与磋商有关的其他供应商的技术资料、价格和其他信息。</w:t>
      </w:r>
    </w:p>
    <w:p w14:paraId="7A95D0F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采购代理机构对磋商过程和重要磋商内容进行记录，磋商双方在记录上签字确认。</w:t>
      </w:r>
    </w:p>
    <w:p w14:paraId="3103C3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磋商小组一致确定响应供应商符合磋商文件要求的，按磋商文件设定的方法和标准确定成交候选人。第一轮磋商磋商小组未能确定成交候选人的，对磋商文件修正后进行第二轮磋商。</w:t>
      </w:r>
    </w:p>
    <w:p w14:paraId="336A05BC">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12.4磋商文件修正</w:t>
      </w:r>
    </w:p>
    <w:p w14:paraId="1F1DCDB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⑴第一轮磋商结束后，各响应供应商退场等候，磋商小组进行合议。根据第一轮磋商掌握的情况，可以对磋商文件进行修改，确定采购内容的详细规格或具体要求，优化采购方案。</w:t>
      </w:r>
    </w:p>
    <w:p w14:paraId="0680A5E7">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⑵采购代理机构通知响应供应商集中，磋商小组强调调整后的采购要求，将磋商文件的修改结果以书面形式通知响应供应商，向响应供应商提供较充分的修正时间。</w:t>
      </w:r>
    </w:p>
    <w:p w14:paraId="6EDC4BC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⑶响应供应商根据第一轮磋商情况和磋商文件修改书面通知，对原响应文件进行修正，并将修正文件签字（盖公章）后密封送交磋商小组。逾时不交的，视同放弃磋商。修正文件与响应文件同具法律效应。</w:t>
      </w:r>
    </w:p>
    <w:p w14:paraId="410F05C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12.5第二轮磋商</w:t>
      </w:r>
    </w:p>
    <w:p w14:paraId="7535B171">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磋商小组就修正后的磋商文件与响应供应商分别进行磋商。采购代理机构对磋商过程和重要磋商内容进行记录，磋商双方在记录上签字确认。磋商小组按磋商文件设定的方法和标准确定成交候选人。</w:t>
      </w:r>
    </w:p>
    <w:p w14:paraId="48932C9B">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第二轮磋商磋商小组未能确定成交候选人的，对磋商文件修正后进行第三轮磋商。以此类推。</w:t>
      </w:r>
    </w:p>
    <w:p w14:paraId="095D5B22">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12.6最后报价</w:t>
      </w:r>
    </w:p>
    <w:p w14:paraId="49651783">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12.6.1磋商文件能够详细列明采购标的的技术、服务要求的，磋商结束后，磋商小组应当要求所有继续参加磋商的供应商在规定时间内密封提交最后报价。</w:t>
      </w:r>
    </w:p>
    <w:p w14:paraId="1BE01F38">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12.6.2磋商文件不能详细列明采购标的的技术、服务要求，需经磋商由供应商提供最终技术方案或解决方案的，磋商结束后，磋商小组应当按照少数服从多数的原则投票推荐3家以上（含3家）供应商的技术方案或者解决方案，并要求其在规定时间内密封提交最后报价。</w:t>
      </w:r>
    </w:p>
    <w:p w14:paraId="1CB761C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12.6.3最后报价是供应商响应文件的有效组成部分。</w:t>
      </w:r>
    </w:p>
    <w:p w14:paraId="69BA462D">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12.6.4 已经提交响应文件的供应商，在提交最后报价之前，可以根据磋商情况退出磋商。采购人、采购代理机构将退还退出磋商的供应商的保证金。</w:t>
      </w:r>
    </w:p>
    <w:p w14:paraId="0E853821">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12.6.5小型和微型企业最终报价扣除计算。</w:t>
      </w:r>
    </w:p>
    <w:p w14:paraId="199303A0">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1.按照《政府采购促进中小企业发展管理办法》（财库﹝2020﹞46 号）的规定，对符合本办法规定的中小微企业应当在响应文件中出具本办法规定的《中小企业声明函》，否则不得享受相关中小企业扶持政策。任何单位和个人不得要求供应商提供《中小企业声明函》之外的中小企业身份证明文件。对符合本办法规定的小微企业报价给予10%的扣除。</w:t>
      </w:r>
    </w:p>
    <w:p w14:paraId="23A73923">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p>
    <w:p w14:paraId="39C496FE">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25E572F0">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12.6.6经磋商确定最终采购需求和提交最后报价的供应商后，由磋商小组采用综合评分法对提交最后报价的供应商的响应文件和最后报价进行综合评分。</w:t>
      </w:r>
    </w:p>
    <w:p w14:paraId="3DD24DA4">
      <w:pPr>
        <w:tabs>
          <w:tab w:val="left" w:pos="540"/>
        </w:tabs>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应当根据综合评分情况，按照评审得分由高到低顺序推荐3名以上成交候选供应商，并编写评审报告。评审得分相同的，按照最后报价由低到高的顺序推荐。评审得分且最后报价相同的，由磋商小组根据方案的优劣情况投票推荐。</w:t>
      </w:r>
    </w:p>
    <w:p w14:paraId="17B1E2C4">
      <w:pPr>
        <w:tabs>
          <w:tab w:val="left" w:pos="540"/>
        </w:tabs>
        <w:spacing w:line="440" w:lineRule="exact"/>
        <w:rPr>
          <w:rFonts w:ascii="宋体" w:hAnsi="宋体"/>
          <w:color w:val="auto"/>
          <w:szCs w:val="21"/>
          <w:highlight w:val="none"/>
        </w:rPr>
      </w:pPr>
      <w:r>
        <w:rPr>
          <w:rFonts w:hint="eastAsia" w:ascii="宋体" w:hAnsi="宋体"/>
          <w:color w:val="auto"/>
          <w:szCs w:val="21"/>
          <w:highlight w:val="none"/>
        </w:rPr>
        <w:t>12.7响应供应商的报价均超过了采购预算，采购人不能支付的，磋商活动终止。</w:t>
      </w:r>
    </w:p>
    <w:p w14:paraId="222267BD">
      <w:pPr>
        <w:tabs>
          <w:tab w:val="left" w:pos="540"/>
        </w:tabs>
        <w:spacing w:line="440" w:lineRule="exact"/>
        <w:rPr>
          <w:rFonts w:hAnsi="宋体"/>
          <w:b/>
          <w:bCs/>
          <w:color w:val="auto"/>
          <w:highlight w:val="none"/>
        </w:rPr>
      </w:pPr>
      <w:r>
        <w:rPr>
          <w:rFonts w:hint="eastAsia" w:ascii="宋体" w:hAnsi="宋体"/>
          <w:color w:val="auto"/>
          <w:szCs w:val="21"/>
          <w:highlight w:val="none"/>
        </w:rPr>
        <w:t>12.8</w:t>
      </w:r>
      <w:r>
        <w:rPr>
          <w:rFonts w:hint="eastAsia" w:hAnsi="宋体"/>
          <w:b/>
          <w:bCs/>
          <w:color w:val="auto"/>
          <w:highlight w:val="none"/>
        </w:rPr>
        <w:t>在评标过程中出现法律法规和磋商文件均没有明确规定的情形时，由磋商小组现场协商解决，协商不一致的，由全体磋商小组投票表决，以得票率二分之一以上专家的意见为准。</w:t>
      </w:r>
    </w:p>
    <w:p w14:paraId="2D983610">
      <w:pPr>
        <w:tabs>
          <w:tab w:val="left" w:pos="540"/>
        </w:tabs>
        <w:spacing w:line="440" w:lineRule="exact"/>
        <w:rPr>
          <w:rFonts w:ascii="宋体" w:hAnsi="宋体"/>
          <w:color w:val="auto"/>
          <w:szCs w:val="21"/>
          <w:highlight w:val="none"/>
        </w:rPr>
      </w:pPr>
      <w:r>
        <w:rPr>
          <w:rFonts w:hint="eastAsia" w:ascii="宋体" w:hAnsi="宋体"/>
          <w:bCs/>
          <w:color w:val="auto"/>
          <w:highlight w:val="none"/>
        </w:rPr>
        <w:t>12.9</w:t>
      </w:r>
      <w:r>
        <w:rPr>
          <w:rFonts w:hint="eastAsia" w:ascii="宋体" w:hAnsi="宋体"/>
          <w:color w:val="auto"/>
          <w:szCs w:val="21"/>
          <w:highlight w:val="none"/>
        </w:rPr>
        <w:t>特别说明：</w:t>
      </w:r>
    </w:p>
    <w:p w14:paraId="168BA325">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1.供应商应仔细阅读竞争性磋商文件的所有内容，按照竞争性磋商文件的要求提交响应文件，并对所提供的全部资料的真实性承担法律责任。</w:t>
      </w:r>
    </w:p>
    <w:p w14:paraId="2725C1A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供应商在竞标活动中提供任何虚假材料，其竞标无效，并报监管部门查处；成交后发现的，成交供应商须依照《中华人民共和国消费者权益保护法》第49条之规定双倍赔偿采购人，且民事赔偿并不免除违法供应商的行政与刑事责任。</w:t>
      </w:r>
    </w:p>
    <w:p w14:paraId="0556E4E1">
      <w:pPr>
        <w:spacing w:line="440" w:lineRule="exact"/>
        <w:rPr>
          <w:rFonts w:ascii="宋体" w:hAnsi="宋体"/>
          <w:color w:val="auto"/>
          <w:szCs w:val="21"/>
          <w:highlight w:val="none"/>
        </w:rPr>
      </w:pPr>
      <w:r>
        <w:rPr>
          <w:rFonts w:hint="eastAsia" w:ascii="宋体" w:hAnsi="宋体"/>
          <w:color w:val="auto"/>
          <w:szCs w:val="21"/>
          <w:highlight w:val="none"/>
        </w:rPr>
        <w:t>12.10低于成本报价</w:t>
      </w:r>
    </w:p>
    <w:p w14:paraId="3DB98B43">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磋商小组在评审过程中发现供应商的总报价明显低于其他供应商的总报价或者明显低于采购预算价，有理由怀疑其总报价可能低于其成本的，应当要求该供应商做出书面说明并提供相关证明材料。供应商不能合理说明或者不能提供相关证明材料的，视作该供应商以低于成本报价竞标，其竞标无效。</w:t>
      </w:r>
    </w:p>
    <w:p w14:paraId="2D5E3030">
      <w:pPr>
        <w:spacing w:line="440" w:lineRule="exact"/>
        <w:rPr>
          <w:rFonts w:ascii="宋体" w:hAnsi="宋体"/>
          <w:color w:val="auto"/>
          <w:szCs w:val="21"/>
          <w:highlight w:val="none"/>
        </w:rPr>
      </w:pPr>
      <w:r>
        <w:rPr>
          <w:rFonts w:hint="eastAsia" w:ascii="宋体" w:hAnsi="宋体"/>
          <w:color w:val="auto"/>
          <w:szCs w:val="21"/>
          <w:highlight w:val="none"/>
        </w:rPr>
        <w:t>12.11最终磋商结束后，磋商小组不得再与供应商进行任何形式的商谈。</w:t>
      </w:r>
    </w:p>
    <w:p w14:paraId="1C1FDE4C">
      <w:pPr>
        <w:spacing w:line="440" w:lineRule="exact"/>
        <w:rPr>
          <w:rFonts w:ascii="宋体" w:hAnsi="宋体"/>
          <w:b/>
          <w:color w:val="auto"/>
          <w:szCs w:val="21"/>
          <w:highlight w:val="none"/>
        </w:rPr>
      </w:pPr>
      <w:r>
        <w:rPr>
          <w:rFonts w:hint="eastAsia" w:ascii="宋体" w:hAnsi="宋体"/>
          <w:b/>
          <w:color w:val="auto"/>
          <w:szCs w:val="21"/>
          <w:highlight w:val="none"/>
        </w:rPr>
        <w:t>12.12供应商有下列情形之一的，磋商保证金将不予退还：</w:t>
      </w:r>
    </w:p>
    <w:p w14:paraId="198C5022">
      <w:pPr>
        <w:spacing w:line="440" w:lineRule="exact"/>
        <w:rPr>
          <w:rFonts w:ascii="宋体" w:hAnsi="宋体"/>
          <w:color w:val="auto"/>
          <w:szCs w:val="21"/>
          <w:highlight w:val="none"/>
        </w:rPr>
      </w:pPr>
      <w:r>
        <w:rPr>
          <w:rFonts w:hint="eastAsia" w:ascii="宋体" w:hAnsi="宋体"/>
          <w:color w:val="auto"/>
          <w:szCs w:val="21"/>
          <w:highlight w:val="none"/>
        </w:rPr>
        <w:t>（1）供应商在提交响应文件截止时间后撤回响应文件的；</w:t>
      </w:r>
    </w:p>
    <w:p w14:paraId="73EF6ED4">
      <w:pPr>
        <w:spacing w:line="440" w:lineRule="exact"/>
        <w:rPr>
          <w:rFonts w:ascii="宋体" w:hAnsi="宋体"/>
          <w:color w:val="auto"/>
          <w:szCs w:val="21"/>
          <w:highlight w:val="none"/>
        </w:rPr>
      </w:pPr>
      <w:r>
        <w:rPr>
          <w:rFonts w:hint="eastAsia" w:ascii="宋体" w:hAnsi="宋体"/>
          <w:color w:val="auto"/>
          <w:szCs w:val="21"/>
          <w:highlight w:val="none"/>
        </w:rPr>
        <w:t>（2）供应商在响应文件中提供虚假材料的；</w:t>
      </w:r>
    </w:p>
    <w:p w14:paraId="61CEECAB">
      <w:pPr>
        <w:spacing w:line="440" w:lineRule="exact"/>
        <w:rPr>
          <w:rFonts w:ascii="宋体" w:hAnsi="宋体"/>
          <w:color w:val="auto"/>
          <w:szCs w:val="21"/>
          <w:highlight w:val="none"/>
        </w:rPr>
      </w:pPr>
      <w:r>
        <w:rPr>
          <w:rFonts w:hint="eastAsia" w:ascii="宋体" w:hAnsi="宋体"/>
          <w:color w:val="auto"/>
          <w:szCs w:val="21"/>
          <w:highlight w:val="none"/>
        </w:rPr>
        <w:t>（3）除因不可抗力或磋商文件认可的情形以外，成交供应商不与采购人签订合同的；</w:t>
      </w:r>
    </w:p>
    <w:p w14:paraId="1AD34A0C">
      <w:pPr>
        <w:spacing w:line="440" w:lineRule="exact"/>
        <w:rPr>
          <w:rFonts w:ascii="宋体" w:hAnsi="宋体"/>
          <w:color w:val="auto"/>
          <w:szCs w:val="21"/>
          <w:highlight w:val="none"/>
        </w:rPr>
      </w:pPr>
      <w:r>
        <w:rPr>
          <w:rFonts w:hint="eastAsia" w:ascii="宋体" w:hAnsi="宋体"/>
          <w:color w:val="auto"/>
          <w:szCs w:val="21"/>
          <w:highlight w:val="none"/>
        </w:rPr>
        <w:t>（4）供应商与采购人、其他供应商或者采购代理机构恶意串通的；</w:t>
      </w:r>
    </w:p>
    <w:p w14:paraId="0B5790A2">
      <w:pPr>
        <w:spacing w:line="440" w:lineRule="exact"/>
        <w:rPr>
          <w:rFonts w:ascii="宋体" w:hAnsi="宋体"/>
          <w:color w:val="auto"/>
          <w:szCs w:val="21"/>
          <w:highlight w:val="none"/>
        </w:rPr>
      </w:pPr>
      <w:r>
        <w:rPr>
          <w:rFonts w:hint="eastAsia" w:ascii="宋体" w:hAnsi="宋体"/>
          <w:color w:val="auto"/>
          <w:szCs w:val="21"/>
          <w:highlight w:val="none"/>
        </w:rPr>
        <w:t>（5）磋商文件规定的其他情形。</w:t>
      </w:r>
    </w:p>
    <w:p w14:paraId="11B5BB4C">
      <w:pPr>
        <w:spacing w:line="440" w:lineRule="exact"/>
        <w:ind w:firstLine="420" w:firstLineChars="200"/>
        <w:rPr>
          <w:rFonts w:hAnsi="宋体"/>
          <w:color w:val="auto"/>
          <w:highlight w:val="none"/>
        </w:rPr>
      </w:pPr>
    </w:p>
    <w:p w14:paraId="6456268F">
      <w:pPr>
        <w:spacing w:line="440" w:lineRule="exact"/>
        <w:rPr>
          <w:rFonts w:ascii="宋体" w:hAnsi="宋体"/>
          <w:b/>
          <w:color w:val="auto"/>
          <w:szCs w:val="21"/>
          <w:highlight w:val="none"/>
        </w:rPr>
      </w:pPr>
      <w:r>
        <w:rPr>
          <w:rFonts w:hint="eastAsia" w:ascii="宋体" w:hAnsi="宋体"/>
          <w:b/>
          <w:color w:val="auto"/>
          <w:szCs w:val="21"/>
          <w:highlight w:val="none"/>
        </w:rPr>
        <w:t>六、确定成交供应商办法及结果公告</w:t>
      </w:r>
    </w:p>
    <w:p w14:paraId="44A5ED88">
      <w:pPr>
        <w:spacing w:line="440" w:lineRule="exact"/>
        <w:rPr>
          <w:rFonts w:ascii="宋体" w:hAnsi="宋体" w:cs="宋体"/>
          <w:color w:val="auto"/>
          <w:kern w:val="0"/>
          <w:szCs w:val="21"/>
          <w:highlight w:val="none"/>
        </w:rPr>
      </w:pPr>
      <w:r>
        <w:rPr>
          <w:rFonts w:hint="eastAsia" w:ascii="宋体" w:hAnsi="宋体"/>
          <w:color w:val="auto"/>
          <w:szCs w:val="21"/>
          <w:highlight w:val="none"/>
        </w:rPr>
        <w:t>13.1</w:t>
      </w:r>
      <w:r>
        <w:rPr>
          <w:rFonts w:ascii="Arial" w:hAnsi="Arial" w:cs="Arial"/>
          <w:color w:val="auto"/>
          <w:kern w:val="0"/>
          <w:sz w:val="24"/>
          <w:highlight w:val="none"/>
        </w:rPr>
        <w:t xml:space="preserve"> </w:t>
      </w:r>
      <w:r>
        <w:rPr>
          <w:rFonts w:ascii="宋体" w:hAnsi="宋体" w:cs="宋体"/>
          <w:color w:val="auto"/>
          <w:kern w:val="0"/>
          <w:szCs w:val="21"/>
          <w:highlight w:val="none"/>
        </w:rPr>
        <w:t>采购</w:t>
      </w:r>
      <w:r>
        <w:rPr>
          <w:rFonts w:ascii="宋体" w:hAnsi="宋体"/>
          <w:color w:val="auto"/>
          <w:szCs w:val="21"/>
          <w:highlight w:val="none"/>
        </w:rPr>
        <w:t>代理</w:t>
      </w:r>
      <w:r>
        <w:rPr>
          <w:rFonts w:ascii="宋体" w:hAnsi="宋体" w:cs="宋体"/>
          <w:color w:val="auto"/>
          <w:kern w:val="0"/>
          <w:szCs w:val="21"/>
          <w:highlight w:val="none"/>
        </w:rPr>
        <w:t>机构应当在评审结束后2个工作日内将评审报告送采购人确认。采购人应当在收到评审报告后5个工作日</w:t>
      </w:r>
      <w:r>
        <w:rPr>
          <w:rFonts w:hint="eastAsia" w:ascii="宋体" w:hAnsi="宋体" w:cs="宋体"/>
          <w:color w:val="auto"/>
          <w:kern w:val="0"/>
          <w:szCs w:val="21"/>
          <w:highlight w:val="none"/>
        </w:rPr>
        <w:t>，从评审报告提出的成交候选供应商中，按照排序由高到低的原则确定成交供应商，</w:t>
      </w:r>
      <w:r>
        <w:rPr>
          <w:rFonts w:ascii="宋体" w:hAnsi="宋体" w:cs="宋体"/>
          <w:color w:val="auto"/>
          <w:kern w:val="0"/>
          <w:szCs w:val="21"/>
          <w:highlight w:val="none"/>
        </w:rPr>
        <w:t>也可以书面授权磋商小组直接确定成交供应商。</w:t>
      </w:r>
      <w:r>
        <w:rPr>
          <w:rFonts w:hint="eastAsia" w:ascii="宋体" w:hAnsi="宋体" w:cs="宋体"/>
          <w:color w:val="auto"/>
          <w:kern w:val="0"/>
          <w:szCs w:val="21"/>
          <w:highlight w:val="none"/>
        </w:rPr>
        <w:t>采购人逾期未确定成交供应商且不提出异议的，视为确定评审报告提出的排序第一的供应商为成交供应商。</w:t>
      </w:r>
    </w:p>
    <w:p w14:paraId="17486C0A">
      <w:pPr>
        <w:spacing w:line="440" w:lineRule="exact"/>
        <w:rPr>
          <w:rFonts w:ascii="宋体" w:hAnsi="宋体"/>
          <w:color w:val="auto"/>
          <w:szCs w:val="21"/>
          <w:highlight w:val="none"/>
        </w:rPr>
      </w:pPr>
      <w:r>
        <w:rPr>
          <w:rFonts w:hint="eastAsia" w:ascii="宋体" w:hAnsi="宋体"/>
          <w:color w:val="auto"/>
          <w:szCs w:val="21"/>
          <w:highlight w:val="none"/>
        </w:rPr>
        <w:t>13.2</w:t>
      </w:r>
      <w:r>
        <w:rPr>
          <w:rFonts w:ascii="宋体" w:hAnsi="宋体"/>
          <w:color w:val="auto"/>
          <w:szCs w:val="21"/>
          <w:highlight w:val="none"/>
        </w:rPr>
        <w:t>采购代理机构应当在成交供应商确定后2个工作日内，在</w:t>
      </w:r>
      <w:r>
        <w:rPr>
          <w:rFonts w:hint="eastAsia" w:ascii="宋体" w:hAnsi="宋体"/>
          <w:color w:val="auto"/>
          <w:szCs w:val="21"/>
          <w:highlight w:val="none"/>
        </w:rPr>
        <w:t>竞争性磋商公告发布</w:t>
      </w:r>
      <w:r>
        <w:rPr>
          <w:rFonts w:ascii="宋体" w:hAnsi="宋体"/>
          <w:color w:val="auto"/>
          <w:szCs w:val="21"/>
          <w:highlight w:val="none"/>
        </w:rPr>
        <w:t>媒体上公告成交结果，同时向成交供应商发出成交通知书</w:t>
      </w:r>
      <w:r>
        <w:rPr>
          <w:rFonts w:hint="eastAsia" w:ascii="宋体" w:hAnsi="宋体"/>
          <w:color w:val="auto"/>
          <w:szCs w:val="21"/>
          <w:highlight w:val="none"/>
        </w:rPr>
        <w:t>。</w:t>
      </w:r>
    </w:p>
    <w:p w14:paraId="51A031FF">
      <w:pPr>
        <w:spacing w:line="440" w:lineRule="exact"/>
        <w:rPr>
          <w:rFonts w:ascii="宋体" w:hAnsi="宋体"/>
          <w:b/>
          <w:color w:val="auto"/>
          <w:szCs w:val="21"/>
          <w:highlight w:val="none"/>
        </w:rPr>
      </w:pPr>
    </w:p>
    <w:p w14:paraId="1768B3FC">
      <w:pPr>
        <w:spacing w:line="440" w:lineRule="exact"/>
        <w:rPr>
          <w:rFonts w:ascii="宋体" w:hAnsi="宋体"/>
          <w:b/>
          <w:color w:val="auto"/>
          <w:szCs w:val="21"/>
          <w:highlight w:val="none"/>
        </w:rPr>
      </w:pPr>
      <w:r>
        <w:rPr>
          <w:rFonts w:hint="eastAsia" w:ascii="宋体" w:hAnsi="宋体"/>
          <w:b/>
          <w:color w:val="auto"/>
          <w:szCs w:val="21"/>
          <w:highlight w:val="none"/>
        </w:rPr>
        <w:t>七、履约保证金</w:t>
      </w:r>
    </w:p>
    <w:p w14:paraId="66DA02F1">
      <w:pPr>
        <w:spacing w:line="440" w:lineRule="exact"/>
        <w:rPr>
          <w:rFonts w:ascii="宋体" w:hAnsi="宋体"/>
          <w:b/>
          <w:color w:val="auto"/>
          <w:szCs w:val="21"/>
          <w:highlight w:val="none"/>
        </w:rPr>
      </w:pPr>
      <w:r>
        <w:rPr>
          <w:rFonts w:hint="eastAsia" w:ascii="宋体" w:hAnsi="宋体"/>
          <w:color w:val="auto"/>
          <w:szCs w:val="21"/>
          <w:highlight w:val="none"/>
        </w:rPr>
        <w:t>详见供应商须知前附表14.1。</w:t>
      </w:r>
    </w:p>
    <w:p w14:paraId="6E3783B7">
      <w:pPr>
        <w:spacing w:line="440" w:lineRule="exact"/>
        <w:rPr>
          <w:rFonts w:ascii="宋体" w:hAnsi="宋体"/>
          <w:b/>
          <w:color w:val="auto"/>
          <w:szCs w:val="21"/>
          <w:highlight w:val="none"/>
        </w:rPr>
      </w:pPr>
      <w:r>
        <w:rPr>
          <w:rFonts w:hint="eastAsia" w:ascii="宋体" w:hAnsi="宋体"/>
          <w:b/>
          <w:color w:val="auto"/>
          <w:szCs w:val="21"/>
          <w:highlight w:val="none"/>
        </w:rPr>
        <w:t>八、签订合同</w:t>
      </w:r>
    </w:p>
    <w:p w14:paraId="364BA90E">
      <w:pPr>
        <w:spacing w:line="440" w:lineRule="exact"/>
        <w:ind w:left="420" w:hanging="420"/>
        <w:rPr>
          <w:rFonts w:ascii="宋体" w:hAnsi="宋体"/>
          <w:color w:val="auto"/>
          <w:szCs w:val="21"/>
          <w:highlight w:val="none"/>
        </w:rPr>
      </w:pPr>
      <w:r>
        <w:rPr>
          <w:rFonts w:hint="eastAsia" w:ascii="宋体" w:hAnsi="宋体"/>
          <w:color w:val="auto"/>
          <w:szCs w:val="21"/>
          <w:highlight w:val="none"/>
        </w:rPr>
        <w:t>15.1成交供应商在收到成交通知书后，按规定与采购人签订采购合同。</w:t>
      </w:r>
    </w:p>
    <w:p w14:paraId="559BEC4F">
      <w:pPr>
        <w:spacing w:line="440" w:lineRule="exact"/>
        <w:rPr>
          <w:rFonts w:ascii="宋体" w:hAnsi="宋体"/>
          <w:color w:val="auto"/>
          <w:szCs w:val="21"/>
          <w:highlight w:val="none"/>
        </w:rPr>
      </w:pPr>
      <w:r>
        <w:rPr>
          <w:rFonts w:hint="eastAsia" w:ascii="宋体" w:hAnsi="宋体"/>
          <w:color w:val="auto"/>
          <w:szCs w:val="21"/>
          <w:highlight w:val="none"/>
        </w:rPr>
        <w:t>15.2</w:t>
      </w:r>
      <w:r>
        <w:rPr>
          <w:rFonts w:ascii="宋体" w:hAnsi="宋体"/>
          <w:color w:val="auto"/>
          <w:szCs w:val="21"/>
          <w:highlight w:val="none"/>
        </w:rPr>
        <w:t>成交供应商拒绝签订采购合同的，采购人可以按本项目确定成交供应商办法确定其他供应商作为成交供应商并签订采购合同，也可以重新开展采购活动。拒绝签订采购合同的成交供应商不得参加对该项目重新开展的采购活动。</w:t>
      </w:r>
    </w:p>
    <w:p w14:paraId="7A5DF97F">
      <w:pPr>
        <w:spacing w:line="440" w:lineRule="exact"/>
        <w:rPr>
          <w:rFonts w:ascii="宋体" w:hAnsi="宋体"/>
          <w:b/>
          <w:color w:val="auto"/>
          <w:szCs w:val="21"/>
          <w:highlight w:val="none"/>
        </w:rPr>
      </w:pPr>
    </w:p>
    <w:p w14:paraId="2A26F8A4">
      <w:pPr>
        <w:spacing w:line="440" w:lineRule="exact"/>
        <w:rPr>
          <w:rFonts w:ascii="宋体" w:hAnsi="宋体"/>
          <w:b/>
          <w:color w:val="auto"/>
          <w:szCs w:val="21"/>
          <w:highlight w:val="none"/>
        </w:rPr>
      </w:pPr>
      <w:r>
        <w:rPr>
          <w:rFonts w:hint="eastAsia" w:ascii="宋体" w:hAnsi="宋体"/>
          <w:b/>
          <w:color w:val="auto"/>
          <w:szCs w:val="21"/>
          <w:highlight w:val="none"/>
        </w:rPr>
        <w:t>九、采购合同公告</w:t>
      </w:r>
    </w:p>
    <w:p w14:paraId="68DF2652">
      <w:pPr>
        <w:spacing w:line="440" w:lineRule="exact"/>
        <w:ind w:firstLine="420" w:firstLineChars="200"/>
        <w:rPr>
          <w:rFonts w:ascii="宋体" w:hAnsi="宋体"/>
          <w:bCs/>
          <w:color w:val="auto"/>
          <w:szCs w:val="21"/>
          <w:highlight w:val="none"/>
        </w:rPr>
      </w:pPr>
      <w:r>
        <w:rPr>
          <w:rFonts w:hint="eastAsia" w:ascii="宋体" w:hAnsi="宋体"/>
          <w:bCs/>
          <w:color w:val="auto"/>
          <w:szCs w:val="21"/>
          <w:highlight w:val="none"/>
        </w:rPr>
        <w:t>无。</w:t>
      </w:r>
    </w:p>
    <w:p w14:paraId="403667CC">
      <w:pPr>
        <w:spacing w:line="440" w:lineRule="exact"/>
        <w:rPr>
          <w:rFonts w:ascii="宋体" w:hAnsi="宋体"/>
          <w:b/>
          <w:color w:val="auto"/>
          <w:szCs w:val="21"/>
          <w:highlight w:val="none"/>
        </w:rPr>
      </w:pPr>
      <w:r>
        <w:rPr>
          <w:rFonts w:hint="eastAsia" w:ascii="宋体" w:hAnsi="宋体"/>
          <w:b/>
          <w:color w:val="auto"/>
          <w:szCs w:val="21"/>
          <w:highlight w:val="none"/>
        </w:rPr>
        <w:t>十、适用法律</w:t>
      </w:r>
    </w:p>
    <w:p w14:paraId="434A59B6">
      <w:pPr>
        <w:tabs>
          <w:tab w:val="left" w:pos="2835"/>
        </w:tabs>
        <w:spacing w:line="440" w:lineRule="exact"/>
        <w:rPr>
          <w:rFonts w:ascii="宋体" w:hAnsi="宋体"/>
          <w:color w:val="auto"/>
          <w:szCs w:val="21"/>
          <w:highlight w:val="none"/>
        </w:rPr>
      </w:pPr>
      <w:r>
        <w:rPr>
          <w:rFonts w:hint="eastAsia" w:ascii="宋体" w:hAnsi="宋体"/>
          <w:color w:val="auto"/>
          <w:szCs w:val="21"/>
          <w:highlight w:val="none"/>
        </w:rPr>
        <w:t>17.</w:t>
      </w:r>
      <w:r>
        <w:rPr>
          <w:rFonts w:hint="eastAsia"/>
          <w:color w:val="auto"/>
          <w:highlight w:val="none"/>
        </w:rPr>
        <w:t xml:space="preserve"> </w:t>
      </w:r>
      <w:r>
        <w:rPr>
          <w:rFonts w:hint="eastAsia" w:ascii="宋体" w:hAnsi="宋体"/>
          <w:color w:val="auto"/>
          <w:szCs w:val="21"/>
          <w:highlight w:val="none"/>
        </w:rPr>
        <w:t>采购当事人的一切活动均适用于《中华人民共和国政府采购法》、《政府采购竞争性磋商采购方式管理暂行办法》及相关规定。</w:t>
      </w:r>
    </w:p>
    <w:p w14:paraId="682CDCE8">
      <w:pPr>
        <w:spacing w:line="440" w:lineRule="exact"/>
        <w:rPr>
          <w:rFonts w:ascii="宋体" w:hAnsi="宋体"/>
          <w:b/>
          <w:color w:val="auto"/>
          <w:szCs w:val="21"/>
          <w:highlight w:val="none"/>
        </w:rPr>
      </w:pPr>
    </w:p>
    <w:p w14:paraId="0D3FB608">
      <w:pPr>
        <w:spacing w:line="440" w:lineRule="exact"/>
        <w:rPr>
          <w:rFonts w:ascii="宋体" w:hAnsi="宋体"/>
          <w:b/>
          <w:color w:val="auto"/>
          <w:szCs w:val="21"/>
          <w:highlight w:val="none"/>
        </w:rPr>
      </w:pPr>
      <w:r>
        <w:rPr>
          <w:rFonts w:hint="eastAsia" w:ascii="宋体" w:hAnsi="宋体"/>
          <w:b/>
          <w:color w:val="auto"/>
          <w:szCs w:val="21"/>
          <w:highlight w:val="none"/>
        </w:rPr>
        <w:t>十一、其它内容</w:t>
      </w:r>
    </w:p>
    <w:p w14:paraId="3A560375">
      <w:pPr>
        <w:pStyle w:val="27"/>
        <w:snapToGrid w:val="0"/>
        <w:spacing w:line="440" w:lineRule="exact"/>
        <w:rPr>
          <w:rFonts w:hAnsi="宋体"/>
          <w:color w:val="auto"/>
          <w:sz w:val="21"/>
          <w:highlight w:val="none"/>
        </w:rPr>
      </w:pPr>
      <w:r>
        <w:rPr>
          <w:rFonts w:hint="eastAsia" w:hAnsi="宋体"/>
          <w:color w:val="auto"/>
          <w:sz w:val="21"/>
          <w:highlight w:val="none"/>
        </w:rPr>
        <w:t>18.1</w:t>
      </w:r>
      <w:bookmarkStart w:id="36" w:name="OLE_LINK11"/>
      <w:r>
        <w:rPr>
          <w:rFonts w:hint="eastAsia" w:hAnsi="宋体"/>
          <w:color w:val="auto"/>
          <w:sz w:val="21"/>
          <w:highlight w:val="none"/>
        </w:rPr>
        <w:t>代理服务费按各标项成交金额的1.7%计算收取</w:t>
      </w:r>
      <w:bookmarkEnd w:id="36"/>
      <w:r>
        <w:rPr>
          <w:rFonts w:hint="eastAsia" w:hAnsi="宋体"/>
          <w:color w:val="auto"/>
          <w:sz w:val="21"/>
          <w:highlight w:val="none"/>
        </w:rPr>
        <w:t>，代理费由成交单位支付。</w:t>
      </w:r>
    </w:p>
    <w:p w14:paraId="2F389A35">
      <w:pPr>
        <w:pStyle w:val="27"/>
        <w:snapToGrid w:val="0"/>
        <w:spacing w:line="440" w:lineRule="exact"/>
        <w:rPr>
          <w:rFonts w:hAnsi="宋体"/>
          <w:b/>
          <w:color w:val="auto"/>
          <w:sz w:val="21"/>
          <w:highlight w:val="none"/>
        </w:rPr>
      </w:pPr>
      <w:r>
        <w:rPr>
          <w:rFonts w:hint="eastAsia" w:hAnsi="宋体"/>
          <w:b/>
          <w:color w:val="auto"/>
          <w:sz w:val="21"/>
          <w:highlight w:val="none"/>
        </w:rPr>
        <w:t>18.2磋商无效的情形</w:t>
      </w:r>
    </w:p>
    <w:p w14:paraId="12B6A34B">
      <w:pPr>
        <w:pStyle w:val="27"/>
        <w:snapToGrid w:val="0"/>
        <w:spacing w:line="440" w:lineRule="exact"/>
        <w:rPr>
          <w:rFonts w:hAnsi="宋体"/>
          <w:color w:val="auto"/>
          <w:sz w:val="21"/>
          <w:highlight w:val="none"/>
        </w:rPr>
      </w:pPr>
      <w:r>
        <w:rPr>
          <w:rFonts w:hint="eastAsia" w:hAnsi="宋体"/>
          <w:color w:val="auto"/>
          <w:sz w:val="21"/>
          <w:highlight w:val="none"/>
        </w:rPr>
        <w:t>18.2.1 属于下列情况之一者，磋商无效：</w:t>
      </w:r>
    </w:p>
    <w:p w14:paraId="7D6E88B9">
      <w:pPr>
        <w:pStyle w:val="27"/>
        <w:snapToGrid w:val="0"/>
        <w:spacing w:line="440" w:lineRule="exact"/>
        <w:rPr>
          <w:rFonts w:hAnsi="宋体"/>
          <w:color w:val="auto"/>
          <w:sz w:val="21"/>
          <w:highlight w:val="none"/>
        </w:rPr>
      </w:pPr>
      <w:r>
        <w:rPr>
          <w:rFonts w:hint="eastAsia" w:hAnsi="宋体"/>
          <w:color w:val="auto"/>
          <w:sz w:val="21"/>
          <w:highlight w:val="none"/>
        </w:rPr>
        <w:t>18.2.1.1未按磋商采购文件规定完整提交响应文件或未按规定要求密封、签字、盖章的，或未提供法人授权委托书（委托代理的）；</w:t>
      </w:r>
    </w:p>
    <w:p w14:paraId="394552D8">
      <w:pPr>
        <w:pStyle w:val="27"/>
        <w:snapToGrid w:val="0"/>
        <w:spacing w:line="440" w:lineRule="exact"/>
        <w:rPr>
          <w:rFonts w:hAnsi="宋体"/>
          <w:color w:val="auto"/>
          <w:sz w:val="21"/>
          <w:highlight w:val="none"/>
        </w:rPr>
      </w:pPr>
      <w:r>
        <w:rPr>
          <w:rFonts w:hint="eastAsia" w:hAnsi="宋体"/>
          <w:color w:val="auto"/>
          <w:sz w:val="21"/>
          <w:highlight w:val="none"/>
        </w:rPr>
        <w:t>18.2.2超越了按照法律法规规定必须获得行政许可或者行政审批的经营范围的；</w:t>
      </w:r>
    </w:p>
    <w:p w14:paraId="3145C76A">
      <w:pPr>
        <w:pStyle w:val="27"/>
        <w:snapToGrid w:val="0"/>
        <w:spacing w:line="440" w:lineRule="exact"/>
        <w:rPr>
          <w:rFonts w:hAnsi="宋体"/>
          <w:color w:val="auto"/>
          <w:sz w:val="21"/>
          <w:highlight w:val="none"/>
        </w:rPr>
      </w:pPr>
      <w:r>
        <w:rPr>
          <w:rFonts w:hint="eastAsia" w:hAnsi="宋体"/>
          <w:color w:val="auto"/>
          <w:sz w:val="21"/>
          <w:highlight w:val="none"/>
        </w:rPr>
        <w:t>18.2.3不具备磋商文件规定的资格要求的；</w:t>
      </w:r>
    </w:p>
    <w:p w14:paraId="76CAAEA6">
      <w:pPr>
        <w:pStyle w:val="27"/>
        <w:snapToGrid w:val="0"/>
        <w:spacing w:line="440" w:lineRule="exact"/>
        <w:rPr>
          <w:rFonts w:hAnsi="宋体"/>
          <w:color w:val="auto"/>
          <w:sz w:val="21"/>
          <w:highlight w:val="none"/>
        </w:rPr>
      </w:pPr>
      <w:r>
        <w:rPr>
          <w:rFonts w:hint="eastAsia" w:hAnsi="宋体"/>
          <w:color w:val="auto"/>
          <w:sz w:val="21"/>
          <w:highlight w:val="none"/>
        </w:rPr>
        <w:t>18.2.4响应文件未按磋商文件的内容和要求编制，或提供虚假材料的；</w:t>
      </w:r>
    </w:p>
    <w:p w14:paraId="5BA9DD92">
      <w:pPr>
        <w:pStyle w:val="27"/>
        <w:snapToGrid w:val="0"/>
        <w:spacing w:line="440" w:lineRule="exact"/>
        <w:rPr>
          <w:rFonts w:hAnsi="宋体"/>
          <w:color w:val="auto"/>
          <w:sz w:val="21"/>
          <w:highlight w:val="none"/>
        </w:rPr>
      </w:pPr>
      <w:r>
        <w:rPr>
          <w:rFonts w:hint="eastAsia" w:hAnsi="宋体"/>
          <w:color w:val="auto"/>
          <w:sz w:val="21"/>
          <w:highlight w:val="none"/>
        </w:rPr>
        <w:t>18.2.5磋商有效期、服务等不能满足磋商文件要求的；</w:t>
      </w:r>
    </w:p>
    <w:p w14:paraId="4DEFF511">
      <w:pPr>
        <w:pStyle w:val="27"/>
        <w:snapToGrid w:val="0"/>
        <w:spacing w:line="440" w:lineRule="exact"/>
        <w:rPr>
          <w:rFonts w:hAnsi="宋体"/>
          <w:color w:val="auto"/>
          <w:sz w:val="21"/>
          <w:highlight w:val="none"/>
        </w:rPr>
      </w:pPr>
      <w:r>
        <w:rPr>
          <w:rFonts w:hint="eastAsia" w:hAnsi="宋体"/>
          <w:color w:val="auto"/>
          <w:sz w:val="21"/>
          <w:highlight w:val="none"/>
        </w:rPr>
        <w:t>18.2.6竞标人未就“项目采购需求”中所有内容作完整唯一报价的；</w:t>
      </w:r>
    </w:p>
    <w:p w14:paraId="091AD3F6">
      <w:pPr>
        <w:pStyle w:val="27"/>
        <w:snapToGrid w:val="0"/>
        <w:spacing w:line="440" w:lineRule="exact"/>
        <w:rPr>
          <w:rFonts w:hAnsi="宋体"/>
          <w:color w:val="auto"/>
          <w:sz w:val="21"/>
          <w:highlight w:val="none"/>
        </w:rPr>
      </w:pPr>
      <w:r>
        <w:rPr>
          <w:rFonts w:hint="eastAsia" w:hAnsi="宋体"/>
          <w:color w:val="auto"/>
          <w:sz w:val="21"/>
          <w:highlight w:val="none"/>
        </w:rPr>
        <w:t>18.2.7未在磋商小组规定的时间内递交响应文件的；</w:t>
      </w:r>
    </w:p>
    <w:p w14:paraId="384E1095">
      <w:pPr>
        <w:pStyle w:val="27"/>
        <w:snapToGrid w:val="0"/>
        <w:spacing w:line="440" w:lineRule="exact"/>
        <w:rPr>
          <w:rFonts w:hAnsi="宋体"/>
          <w:color w:val="auto"/>
          <w:sz w:val="21"/>
          <w:highlight w:val="none"/>
        </w:rPr>
      </w:pPr>
      <w:r>
        <w:rPr>
          <w:rFonts w:hint="eastAsia" w:hAnsi="宋体"/>
          <w:color w:val="auto"/>
          <w:sz w:val="21"/>
          <w:highlight w:val="none"/>
        </w:rPr>
        <w:t>18.2.8未实质性响应磋商文件要求的；或者响应文件有采购人不能接受的附加条件的；</w:t>
      </w:r>
    </w:p>
    <w:p w14:paraId="45424CA3">
      <w:pPr>
        <w:pStyle w:val="27"/>
        <w:snapToGrid w:val="0"/>
        <w:spacing w:line="440" w:lineRule="exact"/>
        <w:rPr>
          <w:rFonts w:hAnsi="宋体"/>
          <w:color w:val="auto"/>
          <w:sz w:val="21"/>
          <w:highlight w:val="none"/>
        </w:rPr>
      </w:pPr>
      <w:r>
        <w:rPr>
          <w:rFonts w:hint="eastAsia" w:hAnsi="宋体"/>
          <w:color w:val="auto"/>
          <w:sz w:val="21"/>
          <w:highlight w:val="none"/>
        </w:rPr>
        <w:t>18.2.9未按规定向采购代理机构购买本项目磋商文件的（有文件规定除外）；</w:t>
      </w:r>
    </w:p>
    <w:p w14:paraId="518E35F0">
      <w:pPr>
        <w:pStyle w:val="27"/>
        <w:snapToGrid w:val="0"/>
        <w:spacing w:line="440" w:lineRule="exact"/>
        <w:rPr>
          <w:rFonts w:hAnsi="宋体"/>
          <w:color w:val="auto"/>
          <w:sz w:val="21"/>
          <w:highlight w:val="none"/>
        </w:rPr>
      </w:pPr>
      <w:r>
        <w:rPr>
          <w:rFonts w:hint="eastAsia" w:hAnsi="宋体"/>
          <w:color w:val="auto"/>
          <w:sz w:val="21"/>
          <w:highlight w:val="none"/>
        </w:rPr>
        <w:t>18.2.10不符合法律、法规和磋商采购文件规定的其他实质性要求和条件的。</w:t>
      </w:r>
    </w:p>
    <w:p w14:paraId="0131D445">
      <w:pPr>
        <w:pStyle w:val="27"/>
        <w:snapToGrid w:val="0"/>
        <w:spacing w:line="440" w:lineRule="exact"/>
        <w:rPr>
          <w:rFonts w:hAnsi="宋体"/>
          <w:color w:val="auto"/>
          <w:sz w:val="21"/>
          <w:highlight w:val="none"/>
        </w:rPr>
      </w:pPr>
      <w:r>
        <w:rPr>
          <w:rFonts w:hint="eastAsia" w:hAnsi="宋体"/>
          <w:color w:val="auto"/>
          <w:sz w:val="21"/>
          <w:highlight w:val="none"/>
        </w:rPr>
        <w:t>18.2.11有下列情形之一的视为竞标人相互串通</w:t>
      </w:r>
      <w:r>
        <w:rPr>
          <w:rFonts w:hint="eastAsia" w:hAnsi="宋体"/>
          <w:color w:val="auto"/>
          <w:sz w:val="21"/>
          <w:highlight w:val="none"/>
          <w:lang w:eastAsia="zh-CN"/>
        </w:rPr>
        <w:t>竞标</w:t>
      </w:r>
      <w:r>
        <w:rPr>
          <w:rFonts w:hint="eastAsia" w:hAnsi="宋体"/>
          <w:color w:val="auto"/>
          <w:sz w:val="21"/>
          <w:highlight w:val="none"/>
        </w:rPr>
        <w:t>，响应文件将被视为无效：</w:t>
      </w:r>
    </w:p>
    <w:p w14:paraId="21ADCA75">
      <w:pPr>
        <w:pStyle w:val="27"/>
        <w:snapToGrid w:val="0"/>
        <w:spacing w:line="440" w:lineRule="exact"/>
        <w:rPr>
          <w:rFonts w:hAnsi="宋体"/>
          <w:color w:val="auto"/>
          <w:sz w:val="21"/>
          <w:highlight w:val="none"/>
        </w:rPr>
      </w:pPr>
      <w:r>
        <w:rPr>
          <w:rFonts w:hint="eastAsia" w:hAnsi="宋体"/>
          <w:color w:val="auto"/>
          <w:sz w:val="21"/>
          <w:highlight w:val="none"/>
        </w:rPr>
        <w:t>（1）不同竞标人的响应文件由同一单位或者个人编制；或不同竞标人报名的IP地址一致的；</w:t>
      </w:r>
    </w:p>
    <w:p w14:paraId="0C93F7F3">
      <w:pPr>
        <w:pStyle w:val="27"/>
        <w:snapToGrid w:val="0"/>
        <w:spacing w:line="440" w:lineRule="exact"/>
        <w:rPr>
          <w:rFonts w:hAnsi="宋体"/>
          <w:color w:val="auto"/>
          <w:sz w:val="21"/>
          <w:highlight w:val="none"/>
        </w:rPr>
      </w:pPr>
      <w:r>
        <w:rPr>
          <w:rFonts w:hint="eastAsia" w:hAnsi="宋体"/>
          <w:color w:val="auto"/>
          <w:sz w:val="21"/>
          <w:highlight w:val="none"/>
        </w:rPr>
        <w:t>（2）不同竞标人委托同一单位或者个人办理</w:t>
      </w:r>
      <w:r>
        <w:rPr>
          <w:rFonts w:hint="eastAsia" w:hAnsi="宋体"/>
          <w:color w:val="auto"/>
          <w:sz w:val="21"/>
          <w:highlight w:val="none"/>
          <w:lang w:eastAsia="zh-CN"/>
        </w:rPr>
        <w:t>竞标</w:t>
      </w:r>
      <w:r>
        <w:rPr>
          <w:rFonts w:hint="eastAsia" w:hAnsi="宋体"/>
          <w:color w:val="auto"/>
          <w:sz w:val="21"/>
          <w:highlight w:val="none"/>
        </w:rPr>
        <w:t>事宜；</w:t>
      </w:r>
    </w:p>
    <w:p w14:paraId="18A57C4B">
      <w:pPr>
        <w:pStyle w:val="27"/>
        <w:snapToGrid w:val="0"/>
        <w:spacing w:line="440" w:lineRule="exact"/>
        <w:rPr>
          <w:rFonts w:hAnsi="宋体"/>
          <w:color w:val="auto"/>
          <w:sz w:val="21"/>
          <w:highlight w:val="none"/>
        </w:rPr>
      </w:pPr>
      <w:r>
        <w:rPr>
          <w:rFonts w:hint="eastAsia" w:hAnsi="宋体"/>
          <w:color w:val="auto"/>
          <w:sz w:val="21"/>
          <w:highlight w:val="none"/>
        </w:rPr>
        <w:t>（3）不同的竞标人的响应文件载明的项目管理员为同一个人；</w:t>
      </w:r>
    </w:p>
    <w:p w14:paraId="48CE729C">
      <w:pPr>
        <w:pStyle w:val="27"/>
        <w:snapToGrid w:val="0"/>
        <w:spacing w:line="440" w:lineRule="exact"/>
        <w:rPr>
          <w:rFonts w:hAnsi="宋体"/>
          <w:color w:val="auto"/>
          <w:sz w:val="21"/>
          <w:highlight w:val="none"/>
        </w:rPr>
      </w:pPr>
      <w:r>
        <w:rPr>
          <w:rFonts w:hint="eastAsia" w:hAnsi="宋体"/>
          <w:color w:val="auto"/>
          <w:sz w:val="21"/>
          <w:highlight w:val="none"/>
        </w:rPr>
        <w:t>（4）不同的竞标人的响应文件异常一致或</w:t>
      </w:r>
      <w:r>
        <w:rPr>
          <w:rFonts w:hint="eastAsia" w:hAnsi="宋体"/>
          <w:color w:val="auto"/>
          <w:sz w:val="21"/>
          <w:highlight w:val="none"/>
          <w:lang w:eastAsia="zh-CN"/>
        </w:rPr>
        <w:t>竞标</w:t>
      </w:r>
      <w:r>
        <w:rPr>
          <w:rFonts w:hint="eastAsia" w:hAnsi="宋体"/>
          <w:color w:val="auto"/>
          <w:sz w:val="21"/>
          <w:highlight w:val="none"/>
        </w:rPr>
        <w:t>报价呈规律性差异；</w:t>
      </w:r>
    </w:p>
    <w:p w14:paraId="2B492B7B">
      <w:pPr>
        <w:pStyle w:val="27"/>
        <w:snapToGrid w:val="0"/>
        <w:spacing w:line="440" w:lineRule="exact"/>
        <w:rPr>
          <w:rFonts w:hAnsi="宋体"/>
          <w:color w:val="auto"/>
          <w:sz w:val="21"/>
          <w:highlight w:val="none"/>
        </w:rPr>
      </w:pPr>
      <w:r>
        <w:rPr>
          <w:rFonts w:hint="eastAsia" w:hAnsi="宋体"/>
          <w:color w:val="auto"/>
          <w:sz w:val="21"/>
          <w:highlight w:val="none"/>
        </w:rPr>
        <w:t>（5）不同竞标人的响应文件相互混装；</w:t>
      </w:r>
    </w:p>
    <w:p w14:paraId="6B38D3CA">
      <w:pPr>
        <w:pStyle w:val="27"/>
        <w:snapToGrid w:val="0"/>
        <w:spacing w:line="440" w:lineRule="exact"/>
        <w:rPr>
          <w:rFonts w:hAnsi="宋体"/>
          <w:color w:val="auto"/>
          <w:sz w:val="21"/>
          <w:highlight w:val="none"/>
        </w:rPr>
      </w:pPr>
      <w:r>
        <w:rPr>
          <w:rFonts w:hint="eastAsia" w:hAnsi="宋体"/>
          <w:color w:val="auto"/>
          <w:sz w:val="21"/>
          <w:highlight w:val="none"/>
        </w:rPr>
        <w:t>（6）不同竞标人的</w:t>
      </w:r>
      <w:r>
        <w:rPr>
          <w:rFonts w:hint="eastAsia" w:hAnsi="宋体"/>
          <w:color w:val="auto"/>
          <w:sz w:val="21"/>
          <w:highlight w:val="none"/>
          <w:lang w:eastAsia="zh-CN"/>
        </w:rPr>
        <w:t>竞标</w:t>
      </w:r>
      <w:r>
        <w:rPr>
          <w:rFonts w:hint="eastAsia" w:hAnsi="宋体"/>
          <w:color w:val="auto"/>
          <w:sz w:val="21"/>
          <w:highlight w:val="none"/>
        </w:rPr>
        <w:t>保证金从同一单位或者个人账户转出。</w:t>
      </w:r>
    </w:p>
    <w:p w14:paraId="21C0BD50">
      <w:pPr>
        <w:rPr>
          <w:color w:val="auto"/>
          <w:highlight w:val="none"/>
        </w:rPr>
      </w:pPr>
      <w:r>
        <w:rPr>
          <w:rFonts w:hint="eastAsia" w:hAnsi="宋体"/>
          <w:color w:val="auto"/>
          <w:highlight w:val="none"/>
        </w:rPr>
        <w:t>18.2.12</w:t>
      </w:r>
      <w:r>
        <w:rPr>
          <w:rFonts w:hint="eastAsia" w:hAnsi="宋体"/>
          <w:color w:val="auto"/>
          <w:szCs w:val="21"/>
          <w:highlight w:val="none"/>
        </w:rPr>
        <w:t>技术需求评审及商务需求评审允许负偏离的条款数超过“投标人须知前附表”规定项数的。</w:t>
      </w:r>
    </w:p>
    <w:p w14:paraId="0BD4D934">
      <w:pPr>
        <w:pStyle w:val="27"/>
        <w:snapToGrid w:val="0"/>
        <w:spacing w:line="440" w:lineRule="exact"/>
        <w:rPr>
          <w:rFonts w:hAnsi="宋体"/>
          <w:color w:val="auto"/>
          <w:sz w:val="21"/>
          <w:highlight w:val="none"/>
        </w:rPr>
      </w:pPr>
      <w:r>
        <w:rPr>
          <w:rFonts w:hint="eastAsia" w:hAnsi="宋体"/>
          <w:color w:val="auto"/>
          <w:sz w:val="21"/>
          <w:highlight w:val="none"/>
        </w:rPr>
        <w:t>19竞标样品的递交与退回</w:t>
      </w:r>
    </w:p>
    <w:p w14:paraId="1D3CAF9D">
      <w:pPr>
        <w:pStyle w:val="27"/>
        <w:snapToGrid w:val="0"/>
        <w:spacing w:line="440" w:lineRule="exact"/>
        <w:rPr>
          <w:rFonts w:hAnsi="宋体"/>
          <w:color w:val="auto"/>
          <w:sz w:val="21"/>
          <w:highlight w:val="none"/>
        </w:rPr>
      </w:pPr>
      <w:r>
        <w:rPr>
          <w:rFonts w:hint="eastAsia" w:hAnsi="宋体"/>
          <w:color w:val="auto"/>
          <w:sz w:val="21"/>
          <w:highlight w:val="none"/>
        </w:rPr>
        <w:t>19.1供应商应按供应商须知前附表样品递交规定的时间之前将竞标样品送达至指定地点，未按时送达应当拒绝接收该竞标人的</w:t>
      </w:r>
      <w:r>
        <w:rPr>
          <w:rFonts w:hint="eastAsia" w:hAnsi="宋体"/>
          <w:color w:val="auto"/>
          <w:sz w:val="21"/>
          <w:highlight w:val="none"/>
          <w:lang w:eastAsia="zh-CN"/>
        </w:rPr>
        <w:t>竞标</w:t>
      </w:r>
      <w:r>
        <w:rPr>
          <w:rFonts w:hint="eastAsia" w:hAnsi="宋体"/>
          <w:color w:val="auto"/>
          <w:sz w:val="21"/>
          <w:highlight w:val="none"/>
        </w:rPr>
        <w:t>样品。</w:t>
      </w:r>
    </w:p>
    <w:p w14:paraId="3E8B9C52">
      <w:pPr>
        <w:numPr>
          <w:ilvl w:val="0"/>
          <w:numId w:val="7"/>
        </w:numPr>
        <w:spacing w:line="360" w:lineRule="auto"/>
        <w:jc w:val="both"/>
        <w:rPr>
          <w:rFonts w:ascii="宋体" w:hAnsi="宋体"/>
          <w:color w:val="auto"/>
          <w:kern w:val="0"/>
          <w:szCs w:val="21"/>
          <w:highlight w:val="none"/>
        </w:rPr>
      </w:pPr>
      <w:r>
        <w:rPr>
          <w:rFonts w:hint="eastAsia" w:ascii="宋体" w:hAnsi="宋体"/>
          <w:color w:val="auto"/>
          <w:kern w:val="0"/>
          <w:szCs w:val="21"/>
          <w:highlight w:val="none"/>
        </w:rPr>
        <w:t>中小微企业划型标准</w:t>
      </w:r>
    </w:p>
    <w:p w14:paraId="343B0986">
      <w:pPr>
        <w:spacing w:line="360" w:lineRule="auto"/>
        <w:jc w:val="both"/>
        <w:rPr>
          <w:rFonts w:ascii="宋体" w:hAnsi="宋体"/>
          <w:color w:val="auto"/>
          <w:kern w:val="0"/>
          <w:szCs w:val="21"/>
          <w:highlight w:val="none"/>
        </w:rPr>
      </w:pPr>
    </w:p>
    <w:p w14:paraId="7963B88A">
      <w:pPr>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中小微企业划型标准</w:t>
      </w:r>
    </w:p>
    <w:tbl>
      <w:tblPr>
        <w:tblStyle w:val="54"/>
        <w:tblW w:w="8789" w:type="dxa"/>
        <w:jc w:val="center"/>
        <w:tblLayout w:type="fixed"/>
        <w:tblCellMar>
          <w:top w:w="0" w:type="dxa"/>
          <w:left w:w="108" w:type="dxa"/>
          <w:bottom w:w="0" w:type="dxa"/>
          <w:right w:w="108" w:type="dxa"/>
        </w:tblCellMar>
      </w:tblPr>
      <w:tblGrid>
        <w:gridCol w:w="1560"/>
        <w:gridCol w:w="1559"/>
        <w:gridCol w:w="1276"/>
        <w:gridCol w:w="1701"/>
        <w:gridCol w:w="1701"/>
        <w:gridCol w:w="992"/>
      </w:tblGrid>
      <w:tr w14:paraId="336895A6">
        <w:tblPrEx>
          <w:tblCellMar>
            <w:top w:w="0" w:type="dxa"/>
            <w:left w:w="108" w:type="dxa"/>
            <w:bottom w:w="0" w:type="dxa"/>
            <w:right w:w="108" w:type="dxa"/>
          </w:tblCellMar>
        </w:tblPrEx>
        <w:trPr>
          <w:trHeight w:val="285" w:hRule="atLeast"/>
          <w:jc w:val="center"/>
        </w:trPr>
        <w:tc>
          <w:tcPr>
            <w:tcW w:w="1560" w:type="dxa"/>
            <w:tcBorders>
              <w:top w:val="single" w:color="auto" w:sz="4" w:space="0"/>
              <w:left w:val="single" w:color="auto" w:sz="4" w:space="0"/>
              <w:bottom w:val="single" w:color="auto" w:sz="4" w:space="0"/>
              <w:right w:val="single" w:color="auto" w:sz="4" w:space="0"/>
            </w:tcBorders>
            <w:vAlign w:val="center"/>
          </w:tcPr>
          <w:p w14:paraId="3068CEE5">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行业名称</w:t>
            </w:r>
          </w:p>
        </w:tc>
        <w:tc>
          <w:tcPr>
            <w:tcW w:w="1559" w:type="dxa"/>
            <w:tcBorders>
              <w:top w:val="single" w:color="auto" w:sz="4" w:space="0"/>
              <w:left w:val="nil"/>
              <w:bottom w:val="single" w:color="auto" w:sz="4" w:space="0"/>
              <w:right w:val="single" w:color="auto" w:sz="4" w:space="0"/>
            </w:tcBorders>
            <w:vAlign w:val="center"/>
          </w:tcPr>
          <w:p w14:paraId="558D45B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指标名称</w:t>
            </w:r>
          </w:p>
        </w:tc>
        <w:tc>
          <w:tcPr>
            <w:tcW w:w="1276" w:type="dxa"/>
            <w:tcBorders>
              <w:top w:val="single" w:color="auto" w:sz="4" w:space="0"/>
              <w:left w:val="nil"/>
              <w:bottom w:val="single" w:color="auto" w:sz="4" w:space="0"/>
              <w:right w:val="single" w:color="auto" w:sz="4" w:space="0"/>
            </w:tcBorders>
            <w:vAlign w:val="center"/>
          </w:tcPr>
          <w:p w14:paraId="13F389A6">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计量单位</w:t>
            </w:r>
          </w:p>
        </w:tc>
        <w:tc>
          <w:tcPr>
            <w:tcW w:w="1701" w:type="dxa"/>
            <w:tcBorders>
              <w:top w:val="single" w:color="auto" w:sz="4" w:space="0"/>
              <w:left w:val="nil"/>
              <w:bottom w:val="single" w:color="auto" w:sz="4" w:space="0"/>
              <w:right w:val="single" w:color="auto" w:sz="4" w:space="0"/>
            </w:tcBorders>
            <w:vAlign w:val="center"/>
          </w:tcPr>
          <w:p w14:paraId="16FB6221">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中型</w:t>
            </w:r>
          </w:p>
        </w:tc>
        <w:tc>
          <w:tcPr>
            <w:tcW w:w="1701" w:type="dxa"/>
            <w:tcBorders>
              <w:top w:val="single" w:color="auto" w:sz="4" w:space="0"/>
              <w:left w:val="nil"/>
              <w:bottom w:val="single" w:color="auto" w:sz="4" w:space="0"/>
              <w:right w:val="single" w:color="auto" w:sz="4" w:space="0"/>
            </w:tcBorders>
            <w:vAlign w:val="center"/>
          </w:tcPr>
          <w:p w14:paraId="059AB044">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小型</w:t>
            </w:r>
          </w:p>
        </w:tc>
        <w:tc>
          <w:tcPr>
            <w:tcW w:w="992" w:type="dxa"/>
            <w:tcBorders>
              <w:top w:val="single" w:color="auto" w:sz="4" w:space="0"/>
              <w:left w:val="nil"/>
              <w:bottom w:val="single" w:color="auto" w:sz="4" w:space="0"/>
              <w:right w:val="single" w:color="auto" w:sz="4" w:space="0"/>
            </w:tcBorders>
            <w:vAlign w:val="center"/>
          </w:tcPr>
          <w:p w14:paraId="0F0E01FA">
            <w:pPr>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微型</w:t>
            </w:r>
          </w:p>
        </w:tc>
      </w:tr>
      <w:tr w14:paraId="615CA0CD">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091C9D3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农、林、牧、渔</w:t>
            </w:r>
          </w:p>
        </w:tc>
        <w:tc>
          <w:tcPr>
            <w:tcW w:w="1559" w:type="dxa"/>
            <w:tcBorders>
              <w:top w:val="nil"/>
              <w:left w:val="nil"/>
              <w:bottom w:val="single" w:color="auto" w:sz="4" w:space="0"/>
              <w:right w:val="single" w:color="auto" w:sz="4" w:space="0"/>
            </w:tcBorders>
            <w:vAlign w:val="center"/>
          </w:tcPr>
          <w:p w14:paraId="2DA2AC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0C36F3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7137F0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2C9181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50≤Y＜500</w:t>
            </w:r>
          </w:p>
        </w:tc>
        <w:tc>
          <w:tcPr>
            <w:tcW w:w="992" w:type="dxa"/>
            <w:tcBorders>
              <w:top w:val="nil"/>
              <w:left w:val="nil"/>
              <w:bottom w:val="single" w:color="auto" w:sz="4" w:space="0"/>
              <w:right w:val="single" w:color="auto" w:sz="4" w:space="0"/>
            </w:tcBorders>
            <w:vAlign w:val="center"/>
          </w:tcPr>
          <w:p w14:paraId="5A6184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1D096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3CBD9C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工业</w:t>
            </w:r>
          </w:p>
        </w:tc>
        <w:tc>
          <w:tcPr>
            <w:tcW w:w="1559" w:type="dxa"/>
            <w:tcBorders>
              <w:top w:val="nil"/>
              <w:left w:val="nil"/>
              <w:bottom w:val="single" w:color="auto" w:sz="4" w:space="0"/>
              <w:right w:val="single" w:color="auto" w:sz="4" w:space="0"/>
            </w:tcBorders>
            <w:vAlign w:val="center"/>
          </w:tcPr>
          <w:p w14:paraId="2FA2517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7393CB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20E71A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4239A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18E1F83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2382910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38F7C07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1610D4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6C753D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3481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2000≤Y＜40000</w:t>
            </w:r>
          </w:p>
        </w:tc>
        <w:tc>
          <w:tcPr>
            <w:tcW w:w="1701" w:type="dxa"/>
            <w:tcBorders>
              <w:top w:val="nil"/>
              <w:left w:val="nil"/>
              <w:bottom w:val="single" w:color="auto" w:sz="4" w:space="0"/>
              <w:right w:val="single" w:color="auto" w:sz="4" w:space="0"/>
            </w:tcBorders>
            <w:vAlign w:val="center"/>
          </w:tcPr>
          <w:p w14:paraId="6A8665A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300≤Y＜2000</w:t>
            </w:r>
          </w:p>
        </w:tc>
        <w:tc>
          <w:tcPr>
            <w:tcW w:w="992" w:type="dxa"/>
            <w:tcBorders>
              <w:top w:val="nil"/>
              <w:left w:val="nil"/>
              <w:bottom w:val="single" w:color="auto" w:sz="4" w:space="0"/>
              <w:right w:val="single" w:color="auto" w:sz="4" w:space="0"/>
            </w:tcBorders>
            <w:vAlign w:val="center"/>
          </w:tcPr>
          <w:p w14:paraId="0DC75A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219A395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12FC82B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建筑业</w:t>
            </w:r>
          </w:p>
        </w:tc>
        <w:tc>
          <w:tcPr>
            <w:tcW w:w="1559" w:type="dxa"/>
            <w:tcBorders>
              <w:top w:val="nil"/>
              <w:left w:val="nil"/>
              <w:bottom w:val="single" w:color="auto" w:sz="4" w:space="0"/>
              <w:right w:val="single" w:color="auto" w:sz="4" w:space="0"/>
            </w:tcBorders>
            <w:vAlign w:val="center"/>
          </w:tcPr>
          <w:p w14:paraId="6F2B2E9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62027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BA8A1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6000≤Y＜80000</w:t>
            </w:r>
          </w:p>
        </w:tc>
        <w:tc>
          <w:tcPr>
            <w:tcW w:w="1701" w:type="dxa"/>
            <w:tcBorders>
              <w:top w:val="nil"/>
              <w:left w:val="nil"/>
              <w:bottom w:val="single" w:color="auto" w:sz="4" w:space="0"/>
              <w:right w:val="single" w:color="auto" w:sz="4" w:space="0"/>
            </w:tcBorders>
            <w:vAlign w:val="center"/>
          </w:tcPr>
          <w:p w14:paraId="35F2738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300≤Y＜6000</w:t>
            </w:r>
          </w:p>
        </w:tc>
        <w:tc>
          <w:tcPr>
            <w:tcW w:w="992" w:type="dxa"/>
            <w:tcBorders>
              <w:top w:val="nil"/>
              <w:left w:val="nil"/>
              <w:bottom w:val="single" w:color="auto" w:sz="4" w:space="0"/>
              <w:right w:val="single" w:color="auto" w:sz="4" w:space="0"/>
            </w:tcBorders>
            <w:vAlign w:val="center"/>
          </w:tcPr>
          <w:p w14:paraId="23B9E73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Y＜300</w:t>
            </w:r>
          </w:p>
        </w:tc>
      </w:tr>
      <w:tr w14:paraId="649EF44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09325C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17E007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0F67C3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FC021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5000≤Z＜80000</w:t>
            </w:r>
          </w:p>
        </w:tc>
        <w:tc>
          <w:tcPr>
            <w:tcW w:w="1701" w:type="dxa"/>
            <w:tcBorders>
              <w:top w:val="nil"/>
              <w:left w:val="nil"/>
              <w:bottom w:val="single" w:color="auto" w:sz="4" w:space="0"/>
              <w:right w:val="single" w:color="auto" w:sz="4" w:space="0"/>
            </w:tcBorders>
            <w:vAlign w:val="center"/>
          </w:tcPr>
          <w:p w14:paraId="4DC4FB8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300≤Z＜5000</w:t>
            </w:r>
          </w:p>
        </w:tc>
        <w:tc>
          <w:tcPr>
            <w:tcW w:w="992" w:type="dxa"/>
            <w:tcBorders>
              <w:top w:val="nil"/>
              <w:left w:val="nil"/>
              <w:bottom w:val="single" w:color="auto" w:sz="4" w:space="0"/>
              <w:right w:val="single" w:color="auto" w:sz="4" w:space="0"/>
            </w:tcBorders>
            <w:vAlign w:val="center"/>
          </w:tcPr>
          <w:p w14:paraId="7047C1E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Z＜300</w:t>
            </w:r>
          </w:p>
        </w:tc>
      </w:tr>
      <w:tr w14:paraId="4CA009D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3AFCC26">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批发业</w:t>
            </w:r>
          </w:p>
        </w:tc>
        <w:tc>
          <w:tcPr>
            <w:tcW w:w="1559" w:type="dxa"/>
            <w:tcBorders>
              <w:top w:val="nil"/>
              <w:left w:val="nil"/>
              <w:bottom w:val="single" w:color="auto" w:sz="4" w:space="0"/>
              <w:right w:val="single" w:color="auto" w:sz="4" w:space="0"/>
            </w:tcBorders>
            <w:vAlign w:val="center"/>
          </w:tcPr>
          <w:p w14:paraId="00266E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781B8B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6E1C5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20≤X＜200</w:t>
            </w:r>
          </w:p>
        </w:tc>
        <w:tc>
          <w:tcPr>
            <w:tcW w:w="1701" w:type="dxa"/>
            <w:tcBorders>
              <w:top w:val="nil"/>
              <w:left w:val="nil"/>
              <w:bottom w:val="single" w:color="auto" w:sz="4" w:space="0"/>
              <w:right w:val="single" w:color="auto" w:sz="4" w:space="0"/>
            </w:tcBorders>
            <w:vAlign w:val="center"/>
          </w:tcPr>
          <w:p w14:paraId="091126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5≤X＜20</w:t>
            </w:r>
          </w:p>
        </w:tc>
        <w:tc>
          <w:tcPr>
            <w:tcW w:w="992" w:type="dxa"/>
            <w:tcBorders>
              <w:top w:val="nil"/>
              <w:left w:val="nil"/>
              <w:bottom w:val="single" w:color="auto" w:sz="4" w:space="0"/>
              <w:right w:val="single" w:color="auto" w:sz="4" w:space="0"/>
            </w:tcBorders>
            <w:vAlign w:val="center"/>
          </w:tcPr>
          <w:p w14:paraId="6BAB3C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X＜5</w:t>
            </w:r>
          </w:p>
        </w:tc>
      </w:tr>
      <w:tr w14:paraId="295370AB">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83A1B6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66B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FAB73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12A67E6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5000≤Y＜40000</w:t>
            </w:r>
          </w:p>
        </w:tc>
        <w:tc>
          <w:tcPr>
            <w:tcW w:w="1701" w:type="dxa"/>
            <w:tcBorders>
              <w:top w:val="nil"/>
              <w:left w:val="nil"/>
              <w:bottom w:val="single" w:color="auto" w:sz="4" w:space="0"/>
              <w:right w:val="single" w:color="auto" w:sz="4" w:space="0"/>
            </w:tcBorders>
            <w:vAlign w:val="center"/>
          </w:tcPr>
          <w:p w14:paraId="6329EAA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992" w:type="dxa"/>
            <w:tcBorders>
              <w:top w:val="nil"/>
              <w:left w:val="nil"/>
              <w:bottom w:val="single" w:color="auto" w:sz="4" w:space="0"/>
              <w:right w:val="single" w:color="auto" w:sz="4" w:space="0"/>
            </w:tcBorders>
            <w:vAlign w:val="center"/>
          </w:tcPr>
          <w:p w14:paraId="19F107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Y＜1000</w:t>
            </w:r>
          </w:p>
        </w:tc>
      </w:tr>
      <w:tr w14:paraId="05E0E6E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D7EA4DE">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零售业</w:t>
            </w:r>
          </w:p>
        </w:tc>
        <w:tc>
          <w:tcPr>
            <w:tcW w:w="1559" w:type="dxa"/>
            <w:tcBorders>
              <w:top w:val="nil"/>
              <w:left w:val="nil"/>
              <w:bottom w:val="single" w:color="auto" w:sz="4" w:space="0"/>
              <w:right w:val="single" w:color="auto" w:sz="4" w:space="0"/>
            </w:tcBorders>
            <w:vAlign w:val="center"/>
          </w:tcPr>
          <w:p w14:paraId="5596363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3CF58E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8F4410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50≤X＜300</w:t>
            </w:r>
          </w:p>
        </w:tc>
        <w:tc>
          <w:tcPr>
            <w:tcW w:w="1701" w:type="dxa"/>
            <w:tcBorders>
              <w:top w:val="nil"/>
              <w:left w:val="nil"/>
              <w:bottom w:val="single" w:color="auto" w:sz="4" w:space="0"/>
              <w:right w:val="single" w:color="auto" w:sz="4" w:space="0"/>
            </w:tcBorders>
            <w:vAlign w:val="center"/>
          </w:tcPr>
          <w:p w14:paraId="3603D10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10≤X＜50</w:t>
            </w:r>
          </w:p>
        </w:tc>
        <w:tc>
          <w:tcPr>
            <w:tcW w:w="992" w:type="dxa"/>
            <w:tcBorders>
              <w:top w:val="nil"/>
              <w:left w:val="nil"/>
              <w:bottom w:val="single" w:color="auto" w:sz="4" w:space="0"/>
              <w:right w:val="single" w:color="auto" w:sz="4" w:space="0"/>
            </w:tcBorders>
            <w:vAlign w:val="center"/>
          </w:tcPr>
          <w:p w14:paraId="7CBF04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889CE2A">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058FF79">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5BCBEB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B03EE8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3877F7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500≤Y＜20000</w:t>
            </w:r>
          </w:p>
        </w:tc>
        <w:tc>
          <w:tcPr>
            <w:tcW w:w="1701" w:type="dxa"/>
            <w:tcBorders>
              <w:top w:val="nil"/>
              <w:left w:val="nil"/>
              <w:bottom w:val="single" w:color="auto" w:sz="4" w:space="0"/>
              <w:right w:val="single" w:color="auto" w:sz="4" w:space="0"/>
            </w:tcBorders>
            <w:vAlign w:val="center"/>
          </w:tcPr>
          <w:p w14:paraId="4F411B4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100≤Y＜500</w:t>
            </w:r>
          </w:p>
        </w:tc>
        <w:tc>
          <w:tcPr>
            <w:tcW w:w="992" w:type="dxa"/>
            <w:tcBorders>
              <w:top w:val="nil"/>
              <w:left w:val="nil"/>
              <w:bottom w:val="single" w:color="auto" w:sz="4" w:space="0"/>
              <w:right w:val="single" w:color="auto" w:sz="4" w:space="0"/>
            </w:tcBorders>
            <w:vAlign w:val="center"/>
          </w:tcPr>
          <w:p w14:paraId="2E82131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A1094DA">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1D6B7B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交通运输业</w:t>
            </w:r>
          </w:p>
        </w:tc>
        <w:tc>
          <w:tcPr>
            <w:tcW w:w="1559" w:type="dxa"/>
            <w:tcBorders>
              <w:top w:val="nil"/>
              <w:left w:val="nil"/>
              <w:bottom w:val="single" w:color="auto" w:sz="4" w:space="0"/>
              <w:right w:val="single" w:color="auto" w:sz="4" w:space="0"/>
            </w:tcBorders>
            <w:vAlign w:val="center"/>
          </w:tcPr>
          <w:p w14:paraId="5CE0A9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0666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327F3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20C8A4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72FD741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1F058FD1">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BAE9B64">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26046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212084B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B916DF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3000≤Y＜30000</w:t>
            </w:r>
          </w:p>
        </w:tc>
        <w:tc>
          <w:tcPr>
            <w:tcW w:w="1701" w:type="dxa"/>
            <w:tcBorders>
              <w:top w:val="nil"/>
              <w:left w:val="nil"/>
              <w:bottom w:val="single" w:color="auto" w:sz="4" w:space="0"/>
              <w:right w:val="single" w:color="auto" w:sz="4" w:space="0"/>
            </w:tcBorders>
            <w:vAlign w:val="center"/>
          </w:tcPr>
          <w:p w14:paraId="124950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200≤Y＜3000</w:t>
            </w:r>
          </w:p>
        </w:tc>
        <w:tc>
          <w:tcPr>
            <w:tcW w:w="992" w:type="dxa"/>
            <w:tcBorders>
              <w:top w:val="nil"/>
              <w:left w:val="nil"/>
              <w:bottom w:val="single" w:color="auto" w:sz="4" w:space="0"/>
              <w:right w:val="single" w:color="auto" w:sz="4" w:space="0"/>
            </w:tcBorders>
            <w:vAlign w:val="center"/>
          </w:tcPr>
          <w:p w14:paraId="2347BB2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w:t>
            </w:r>
          </w:p>
        </w:tc>
      </w:tr>
      <w:tr w14:paraId="28CA53F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BAD85A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仓储业</w:t>
            </w:r>
          </w:p>
        </w:tc>
        <w:tc>
          <w:tcPr>
            <w:tcW w:w="1559" w:type="dxa"/>
            <w:tcBorders>
              <w:top w:val="nil"/>
              <w:left w:val="nil"/>
              <w:bottom w:val="single" w:color="auto" w:sz="4" w:space="0"/>
              <w:right w:val="single" w:color="auto" w:sz="4" w:space="0"/>
            </w:tcBorders>
            <w:vAlign w:val="center"/>
          </w:tcPr>
          <w:p w14:paraId="72B4DF6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138B7E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47A16C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w:t>
            </w:r>
          </w:p>
        </w:tc>
        <w:tc>
          <w:tcPr>
            <w:tcW w:w="1701" w:type="dxa"/>
            <w:tcBorders>
              <w:top w:val="nil"/>
              <w:left w:val="nil"/>
              <w:bottom w:val="single" w:color="auto" w:sz="4" w:space="0"/>
              <w:right w:val="single" w:color="auto" w:sz="4" w:space="0"/>
            </w:tcBorders>
            <w:vAlign w:val="center"/>
          </w:tcPr>
          <w:p w14:paraId="3DD4066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20≤X＜100</w:t>
            </w:r>
          </w:p>
        </w:tc>
        <w:tc>
          <w:tcPr>
            <w:tcW w:w="992" w:type="dxa"/>
            <w:tcBorders>
              <w:top w:val="nil"/>
              <w:left w:val="nil"/>
              <w:bottom w:val="single" w:color="auto" w:sz="4" w:space="0"/>
              <w:right w:val="single" w:color="auto" w:sz="4" w:space="0"/>
            </w:tcBorders>
            <w:vAlign w:val="center"/>
          </w:tcPr>
          <w:p w14:paraId="059594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967BAB7">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C7F41D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0D9F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D00A1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2B3B7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1000≤Y＜30000</w:t>
            </w:r>
          </w:p>
        </w:tc>
        <w:tc>
          <w:tcPr>
            <w:tcW w:w="1701" w:type="dxa"/>
            <w:tcBorders>
              <w:top w:val="nil"/>
              <w:left w:val="nil"/>
              <w:bottom w:val="single" w:color="auto" w:sz="4" w:space="0"/>
              <w:right w:val="single" w:color="auto" w:sz="4" w:space="0"/>
            </w:tcBorders>
            <w:vAlign w:val="center"/>
          </w:tcPr>
          <w:p w14:paraId="2D0FF3C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6D441E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20E95C0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0262918F">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邮政业</w:t>
            </w:r>
          </w:p>
        </w:tc>
        <w:tc>
          <w:tcPr>
            <w:tcW w:w="1559" w:type="dxa"/>
            <w:tcBorders>
              <w:top w:val="nil"/>
              <w:left w:val="nil"/>
              <w:bottom w:val="single" w:color="auto" w:sz="4" w:space="0"/>
              <w:right w:val="single" w:color="auto" w:sz="4" w:space="0"/>
            </w:tcBorders>
            <w:vAlign w:val="center"/>
          </w:tcPr>
          <w:p w14:paraId="3C2FB5A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04F66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8F2A4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546CD5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20≤X＜300</w:t>
            </w:r>
          </w:p>
        </w:tc>
        <w:tc>
          <w:tcPr>
            <w:tcW w:w="992" w:type="dxa"/>
            <w:tcBorders>
              <w:top w:val="nil"/>
              <w:left w:val="nil"/>
              <w:bottom w:val="single" w:color="auto" w:sz="4" w:space="0"/>
              <w:right w:val="single" w:color="auto" w:sz="4" w:space="0"/>
            </w:tcBorders>
            <w:vAlign w:val="center"/>
          </w:tcPr>
          <w:p w14:paraId="390A15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X＜20</w:t>
            </w:r>
          </w:p>
        </w:tc>
      </w:tr>
      <w:tr w14:paraId="01997774">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DC82835">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4CE370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A7731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C298FD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2000≤Y＜30000</w:t>
            </w:r>
          </w:p>
        </w:tc>
        <w:tc>
          <w:tcPr>
            <w:tcW w:w="1701" w:type="dxa"/>
            <w:tcBorders>
              <w:top w:val="nil"/>
              <w:left w:val="nil"/>
              <w:bottom w:val="single" w:color="auto" w:sz="4" w:space="0"/>
              <w:right w:val="single" w:color="auto" w:sz="4" w:space="0"/>
            </w:tcBorders>
            <w:vAlign w:val="center"/>
          </w:tcPr>
          <w:p w14:paraId="560F088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325D663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761D75C2">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55195198">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住宿业</w:t>
            </w:r>
          </w:p>
        </w:tc>
        <w:tc>
          <w:tcPr>
            <w:tcW w:w="1559" w:type="dxa"/>
            <w:tcBorders>
              <w:top w:val="nil"/>
              <w:left w:val="nil"/>
              <w:bottom w:val="single" w:color="auto" w:sz="4" w:space="0"/>
              <w:right w:val="single" w:color="auto" w:sz="4" w:space="0"/>
            </w:tcBorders>
            <w:vAlign w:val="center"/>
          </w:tcPr>
          <w:p w14:paraId="082E133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830FBA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C47A70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1AA8CFB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29A379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BE267F">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A068D11">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6F1CAD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EBDB6C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388DF3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7417D05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4CAC3F7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4EEC3F45">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E65CAF9">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餐饮业</w:t>
            </w:r>
          </w:p>
        </w:tc>
        <w:tc>
          <w:tcPr>
            <w:tcW w:w="1559" w:type="dxa"/>
            <w:tcBorders>
              <w:top w:val="nil"/>
              <w:left w:val="nil"/>
              <w:bottom w:val="single" w:color="auto" w:sz="4" w:space="0"/>
              <w:right w:val="single" w:color="auto" w:sz="4" w:space="0"/>
            </w:tcBorders>
            <w:vAlign w:val="center"/>
          </w:tcPr>
          <w:p w14:paraId="36D4AED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4D24897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1B877F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610326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0A28A2E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4FF1E0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7DD3C70">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B787F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3220813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01CDE4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2000≤Y＜10000</w:t>
            </w:r>
          </w:p>
        </w:tc>
        <w:tc>
          <w:tcPr>
            <w:tcW w:w="1701" w:type="dxa"/>
            <w:tcBorders>
              <w:top w:val="nil"/>
              <w:left w:val="nil"/>
              <w:bottom w:val="single" w:color="auto" w:sz="4" w:space="0"/>
              <w:right w:val="single" w:color="auto" w:sz="4" w:space="0"/>
            </w:tcBorders>
            <w:vAlign w:val="center"/>
          </w:tcPr>
          <w:p w14:paraId="6CD1C78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100≤Y＜2000</w:t>
            </w:r>
          </w:p>
        </w:tc>
        <w:tc>
          <w:tcPr>
            <w:tcW w:w="992" w:type="dxa"/>
            <w:tcBorders>
              <w:top w:val="nil"/>
              <w:left w:val="nil"/>
              <w:bottom w:val="single" w:color="auto" w:sz="4" w:space="0"/>
              <w:right w:val="single" w:color="auto" w:sz="4" w:space="0"/>
            </w:tcBorders>
            <w:vAlign w:val="center"/>
          </w:tcPr>
          <w:p w14:paraId="02EF560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5B63F0B0">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36D47F81">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信息传输业</w:t>
            </w:r>
          </w:p>
        </w:tc>
        <w:tc>
          <w:tcPr>
            <w:tcW w:w="1559" w:type="dxa"/>
            <w:tcBorders>
              <w:top w:val="nil"/>
              <w:left w:val="nil"/>
              <w:bottom w:val="single" w:color="auto" w:sz="4" w:space="0"/>
              <w:right w:val="single" w:color="auto" w:sz="4" w:space="0"/>
            </w:tcBorders>
            <w:vAlign w:val="center"/>
          </w:tcPr>
          <w:p w14:paraId="551D2C9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17ACE8B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8AA8D7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100≤X＜2000</w:t>
            </w:r>
          </w:p>
        </w:tc>
        <w:tc>
          <w:tcPr>
            <w:tcW w:w="1701" w:type="dxa"/>
            <w:tcBorders>
              <w:top w:val="nil"/>
              <w:left w:val="nil"/>
              <w:bottom w:val="single" w:color="auto" w:sz="4" w:space="0"/>
              <w:right w:val="single" w:color="auto" w:sz="4" w:space="0"/>
            </w:tcBorders>
            <w:vAlign w:val="center"/>
          </w:tcPr>
          <w:p w14:paraId="1825F17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E7EE7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71D2BFF8">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164D5C1A">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3EFDC9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51A8693">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2743803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1000≤Y＜100000</w:t>
            </w:r>
          </w:p>
        </w:tc>
        <w:tc>
          <w:tcPr>
            <w:tcW w:w="1701" w:type="dxa"/>
            <w:tcBorders>
              <w:top w:val="nil"/>
              <w:left w:val="nil"/>
              <w:bottom w:val="single" w:color="auto" w:sz="4" w:space="0"/>
              <w:right w:val="single" w:color="auto" w:sz="4" w:space="0"/>
            </w:tcBorders>
            <w:vAlign w:val="center"/>
          </w:tcPr>
          <w:p w14:paraId="77C065D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100≤Y＜1000</w:t>
            </w:r>
          </w:p>
        </w:tc>
        <w:tc>
          <w:tcPr>
            <w:tcW w:w="992" w:type="dxa"/>
            <w:tcBorders>
              <w:top w:val="nil"/>
              <w:left w:val="nil"/>
              <w:bottom w:val="single" w:color="auto" w:sz="4" w:space="0"/>
              <w:right w:val="single" w:color="auto" w:sz="4" w:space="0"/>
            </w:tcBorders>
            <w:vAlign w:val="center"/>
          </w:tcPr>
          <w:p w14:paraId="5A1B0CD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3E79B79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27100E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软件和信息技术服务业</w:t>
            </w:r>
          </w:p>
        </w:tc>
        <w:tc>
          <w:tcPr>
            <w:tcW w:w="1559" w:type="dxa"/>
            <w:tcBorders>
              <w:top w:val="nil"/>
              <w:left w:val="nil"/>
              <w:bottom w:val="single" w:color="auto" w:sz="4" w:space="0"/>
              <w:right w:val="single" w:color="auto" w:sz="4" w:space="0"/>
            </w:tcBorders>
            <w:vAlign w:val="center"/>
          </w:tcPr>
          <w:p w14:paraId="5B8E40F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2BA211C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79FB9F0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65AA536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506F9D4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5932D596">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D9436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649D28E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5D01B82F">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458C37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1000≤Y＜10000</w:t>
            </w:r>
          </w:p>
        </w:tc>
        <w:tc>
          <w:tcPr>
            <w:tcW w:w="1701" w:type="dxa"/>
            <w:tcBorders>
              <w:top w:val="nil"/>
              <w:left w:val="nil"/>
              <w:bottom w:val="single" w:color="auto" w:sz="4" w:space="0"/>
              <w:right w:val="single" w:color="auto" w:sz="4" w:space="0"/>
            </w:tcBorders>
            <w:vAlign w:val="center"/>
          </w:tcPr>
          <w:p w14:paraId="6FFB825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50≤Y＜1000</w:t>
            </w:r>
          </w:p>
        </w:tc>
        <w:tc>
          <w:tcPr>
            <w:tcW w:w="992" w:type="dxa"/>
            <w:tcBorders>
              <w:top w:val="nil"/>
              <w:left w:val="nil"/>
              <w:bottom w:val="single" w:color="auto" w:sz="4" w:space="0"/>
              <w:right w:val="single" w:color="auto" w:sz="4" w:space="0"/>
            </w:tcBorders>
            <w:vAlign w:val="center"/>
          </w:tcPr>
          <w:p w14:paraId="3AADB4B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w:t>
            </w:r>
          </w:p>
        </w:tc>
      </w:tr>
      <w:tr w14:paraId="65112D78">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99657FA">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房地产开发经营</w:t>
            </w:r>
          </w:p>
        </w:tc>
        <w:tc>
          <w:tcPr>
            <w:tcW w:w="1559" w:type="dxa"/>
            <w:tcBorders>
              <w:top w:val="nil"/>
              <w:left w:val="nil"/>
              <w:bottom w:val="single" w:color="auto" w:sz="4" w:space="0"/>
              <w:right w:val="single" w:color="auto" w:sz="4" w:space="0"/>
            </w:tcBorders>
            <w:vAlign w:val="center"/>
          </w:tcPr>
          <w:p w14:paraId="4DECD9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13154B7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03E24F1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1000≤Y＜200000</w:t>
            </w:r>
          </w:p>
        </w:tc>
        <w:tc>
          <w:tcPr>
            <w:tcW w:w="1701" w:type="dxa"/>
            <w:tcBorders>
              <w:top w:val="nil"/>
              <w:left w:val="nil"/>
              <w:bottom w:val="single" w:color="auto" w:sz="4" w:space="0"/>
              <w:right w:val="single" w:color="auto" w:sz="4" w:space="0"/>
            </w:tcBorders>
            <w:vAlign w:val="center"/>
          </w:tcPr>
          <w:p w14:paraId="7393AA2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100≤X＜1000</w:t>
            </w:r>
          </w:p>
        </w:tc>
        <w:tc>
          <w:tcPr>
            <w:tcW w:w="992" w:type="dxa"/>
            <w:tcBorders>
              <w:top w:val="nil"/>
              <w:left w:val="nil"/>
              <w:bottom w:val="single" w:color="auto" w:sz="4" w:space="0"/>
              <w:right w:val="single" w:color="auto" w:sz="4" w:space="0"/>
            </w:tcBorders>
            <w:vAlign w:val="center"/>
          </w:tcPr>
          <w:p w14:paraId="5538EB3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761592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78EEE39E">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521ACA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216B17B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642B00E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5000≤Z＜10000</w:t>
            </w:r>
          </w:p>
        </w:tc>
        <w:tc>
          <w:tcPr>
            <w:tcW w:w="1701" w:type="dxa"/>
            <w:tcBorders>
              <w:top w:val="nil"/>
              <w:left w:val="nil"/>
              <w:bottom w:val="single" w:color="auto" w:sz="4" w:space="0"/>
              <w:right w:val="single" w:color="auto" w:sz="4" w:space="0"/>
            </w:tcBorders>
            <w:vAlign w:val="center"/>
          </w:tcPr>
          <w:p w14:paraId="5B53ABA4">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2000≤Y＜5000</w:t>
            </w:r>
          </w:p>
        </w:tc>
        <w:tc>
          <w:tcPr>
            <w:tcW w:w="992" w:type="dxa"/>
            <w:tcBorders>
              <w:top w:val="nil"/>
              <w:left w:val="nil"/>
              <w:bottom w:val="single" w:color="auto" w:sz="4" w:space="0"/>
              <w:right w:val="single" w:color="auto" w:sz="4" w:space="0"/>
            </w:tcBorders>
            <w:vAlign w:val="center"/>
          </w:tcPr>
          <w:p w14:paraId="783A5C1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Y＜2000</w:t>
            </w:r>
          </w:p>
        </w:tc>
      </w:tr>
      <w:tr w14:paraId="44AE09E6">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6C6E59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物业管理</w:t>
            </w:r>
          </w:p>
        </w:tc>
        <w:tc>
          <w:tcPr>
            <w:tcW w:w="1559" w:type="dxa"/>
            <w:tcBorders>
              <w:top w:val="nil"/>
              <w:left w:val="nil"/>
              <w:bottom w:val="single" w:color="auto" w:sz="4" w:space="0"/>
              <w:right w:val="single" w:color="auto" w:sz="4" w:space="0"/>
            </w:tcBorders>
            <w:vAlign w:val="center"/>
          </w:tcPr>
          <w:p w14:paraId="5663DB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AD4776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32C79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300≤X＜1000</w:t>
            </w:r>
          </w:p>
        </w:tc>
        <w:tc>
          <w:tcPr>
            <w:tcW w:w="1701" w:type="dxa"/>
            <w:tcBorders>
              <w:top w:val="nil"/>
              <w:left w:val="nil"/>
              <w:bottom w:val="single" w:color="auto" w:sz="4" w:space="0"/>
              <w:right w:val="single" w:color="auto" w:sz="4" w:space="0"/>
            </w:tcBorders>
            <w:vAlign w:val="center"/>
          </w:tcPr>
          <w:p w14:paraId="4667D799">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992" w:type="dxa"/>
            <w:tcBorders>
              <w:top w:val="nil"/>
              <w:left w:val="nil"/>
              <w:bottom w:val="single" w:color="auto" w:sz="4" w:space="0"/>
              <w:right w:val="single" w:color="auto" w:sz="4" w:space="0"/>
            </w:tcBorders>
            <w:vAlign w:val="center"/>
          </w:tcPr>
          <w:p w14:paraId="09C8818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X＜100</w:t>
            </w:r>
          </w:p>
        </w:tc>
      </w:tr>
      <w:tr w14:paraId="0EBDD3AE">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492BE54C">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798C2CA7">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营业收入（Y）</w:t>
            </w:r>
          </w:p>
        </w:tc>
        <w:tc>
          <w:tcPr>
            <w:tcW w:w="1276" w:type="dxa"/>
            <w:tcBorders>
              <w:top w:val="nil"/>
              <w:left w:val="nil"/>
              <w:bottom w:val="single" w:color="auto" w:sz="4" w:space="0"/>
              <w:right w:val="single" w:color="auto" w:sz="4" w:space="0"/>
            </w:tcBorders>
            <w:vAlign w:val="center"/>
          </w:tcPr>
          <w:p w14:paraId="48C7CBA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471ACEC1">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1000≤Y＜5000</w:t>
            </w:r>
          </w:p>
        </w:tc>
        <w:tc>
          <w:tcPr>
            <w:tcW w:w="1701" w:type="dxa"/>
            <w:tcBorders>
              <w:top w:val="nil"/>
              <w:left w:val="nil"/>
              <w:bottom w:val="single" w:color="auto" w:sz="4" w:space="0"/>
              <w:right w:val="single" w:color="auto" w:sz="4" w:space="0"/>
            </w:tcBorders>
            <w:vAlign w:val="center"/>
          </w:tcPr>
          <w:p w14:paraId="7AC649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500≤Y＜1000</w:t>
            </w:r>
          </w:p>
        </w:tc>
        <w:tc>
          <w:tcPr>
            <w:tcW w:w="992" w:type="dxa"/>
            <w:tcBorders>
              <w:top w:val="nil"/>
              <w:left w:val="nil"/>
              <w:bottom w:val="single" w:color="auto" w:sz="4" w:space="0"/>
              <w:right w:val="single" w:color="auto" w:sz="4" w:space="0"/>
            </w:tcBorders>
            <w:vAlign w:val="center"/>
          </w:tcPr>
          <w:p w14:paraId="0873ED2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Y＜500</w:t>
            </w:r>
          </w:p>
        </w:tc>
      </w:tr>
      <w:tr w14:paraId="1F1E1FFC">
        <w:tblPrEx>
          <w:tblCellMar>
            <w:top w:w="0" w:type="dxa"/>
            <w:left w:w="108" w:type="dxa"/>
            <w:bottom w:w="0" w:type="dxa"/>
            <w:right w:w="108" w:type="dxa"/>
          </w:tblCellMar>
        </w:tblPrEx>
        <w:trPr>
          <w:trHeight w:val="225" w:hRule="atLeast"/>
          <w:jc w:val="center"/>
        </w:trPr>
        <w:tc>
          <w:tcPr>
            <w:tcW w:w="1560" w:type="dxa"/>
            <w:vMerge w:val="restart"/>
            <w:tcBorders>
              <w:top w:val="nil"/>
              <w:left w:val="single" w:color="auto" w:sz="4" w:space="0"/>
              <w:bottom w:val="single" w:color="auto" w:sz="4" w:space="0"/>
              <w:right w:val="single" w:color="auto" w:sz="4" w:space="0"/>
            </w:tcBorders>
            <w:vAlign w:val="bottom"/>
          </w:tcPr>
          <w:p w14:paraId="2897FA05">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租赁和商务服务业</w:t>
            </w:r>
          </w:p>
        </w:tc>
        <w:tc>
          <w:tcPr>
            <w:tcW w:w="1559" w:type="dxa"/>
            <w:tcBorders>
              <w:top w:val="nil"/>
              <w:left w:val="nil"/>
              <w:bottom w:val="single" w:color="auto" w:sz="4" w:space="0"/>
              <w:right w:val="single" w:color="auto" w:sz="4" w:space="0"/>
            </w:tcBorders>
            <w:vAlign w:val="center"/>
          </w:tcPr>
          <w:p w14:paraId="3074F69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69FB71FE">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3F2C4A0A">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231BC0DB">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1580659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r w14:paraId="6265EB15">
        <w:tblPrEx>
          <w:tblCellMar>
            <w:top w:w="0" w:type="dxa"/>
            <w:left w:w="108" w:type="dxa"/>
            <w:bottom w:w="0" w:type="dxa"/>
            <w:right w:w="108" w:type="dxa"/>
          </w:tblCellMar>
        </w:tblPrEx>
        <w:trPr>
          <w:trHeight w:val="225" w:hRule="atLeast"/>
          <w:jc w:val="center"/>
        </w:trPr>
        <w:tc>
          <w:tcPr>
            <w:tcW w:w="1560" w:type="dxa"/>
            <w:vMerge w:val="continue"/>
            <w:tcBorders>
              <w:top w:val="nil"/>
              <w:left w:val="single" w:color="auto" w:sz="4" w:space="0"/>
              <w:bottom w:val="single" w:color="auto" w:sz="4" w:space="0"/>
              <w:right w:val="single" w:color="auto" w:sz="4" w:space="0"/>
            </w:tcBorders>
            <w:vAlign w:val="center"/>
          </w:tcPr>
          <w:p w14:paraId="20DE2C18">
            <w:pPr>
              <w:spacing w:line="360" w:lineRule="auto"/>
              <w:rPr>
                <w:rFonts w:ascii="宋体" w:hAnsi="宋体" w:cs="宋体"/>
                <w:b/>
                <w:bCs/>
                <w:color w:val="auto"/>
                <w:kern w:val="0"/>
                <w:sz w:val="18"/>
                <w:szCs w:val="18"/>
                <w:highlight w:val="none"/>
              </w:rPr>
            </w:pPr>
          </w:p>
        </w:tc>
        <w:tc>
          <w:tcPr>
            <w:tcW w:w="1559" w:type="dxa"/>
            <w:tcBorders>
              <w:top w:val="nil"/>
              <w:left w:val="nil"/>
              <w:bottom w:val="single" w:color="auto" w:sz="4" w:space="0"/>
              <w:right w:val="single" w:color="auto" w:sz="4" w:space="0"/>
            </w:tcBorders>
            <w:vAlign w:val="center"/>
          </w:tcPr>
          <w:p w14:paraId="0747C1A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资产总额（Z）</w:t>
            </w:r>
          </w:p>
        </w:tc>
        <w:tc>
          <w:tcPr>
            <w:tcW w:w="1276" w:type="dxa"/>
            <w:tcBorders>
              <w:top w:val="nil"/>
              <w:left w:val="nil"/>
              <w:bottom w:val="single" w:color="auto" w:sz="4" w:space="0"/>
              <w:right w:val="single" w:color="auto" w:sz="4" w:space="0"/>
            </w:tcBorders>
            <w:vAlign w:val="center"/>
          </w:tcPr>
          <w:p w14:paraId="3288CE90">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万元</w:t>
            </w:r>
          </w:p>
        </w:tc>
        <w:tc>
          <w:tcPr>
            <w:tcW w:w="1701" w:type="dxa"/>
            <w:tcBorders>
              <w:top w:val="nil"/>
              <w:left w:val="nil"/>
              <w:bottom w:val="single" w:color="auto" w:sz="4" w:space="0"/>
              <w:right w:val="single" w:color="auto" w:sz="4" w:space="0"/>
            </w:tcBorders>
            <w:vAlign w:val="center"/>
          </w:tcPr>
          <w:p w14:paraId="5B1965CC">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8000≤Z＜120000</w:t>
            </w:r>
          </w:p>
        </w:tc>
        <w:tc>
          <w:tcPr>
            <w:tcW w:w="1701" w:type="dxa"/>
            <w:tcBorders>
              <w:top w:val="nil"/>
              <w:left w:val="nil"/>
              <w:bottom w:val="single" w:color="auto" w:sz="4" w:space="0"/>
              <w:right w:val="single" w:color="auto" w:sz="4" w:space="0"/>
            </w:tcBorders>
            <w:vAlign w:val="center"/>
          </w:tcPr>
          <w:p w14:paraId="53804D4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100≤Z＜8000</w:t>
            </w:r>
          </w:p>
        </w:tc>
        <w:tc>
          <w:tcPr>
            <w:tcW w:w="992" w:type="dxa"/>
            <w:tcBorders>
              <w:top w:val="nil"/>
              <w:left w:val="nil"/>
              <w:bottom w:val="single" w:color="auto" w:sz="4" w:space="0"/>
              <w:right w:val="single" w:color="auto" w:sz="4" w:space="0"/>
            </w:tcBorders>
            <w:vAlign w:val="center"/>
          </w:tcPr>
          <w:p w14:paraId="0E3DFD68">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Y＜100</w:t>
            </w:r>
          </w:p>
        </w:tc>
      </w:tr>
      <w:tr w14:paraId="166AA71B">
        <w:tblPrEx>
          <w:tblCellMar>
            <w:top w:w="0" w:type="dxa"/>
            <w:left w:w="108" w:type="dxa"/>
            <w:bottom w:w="0" w:type="dxa"/>
            <w:right w:w="108" w:type="dxa"/>
          </w:tblCellMar>
        </w:tblPrEx>
        <w:trPr>
          <w:trHeight w:val="225" w:hRule="atLeast"/>
          <w:jc w:val="center"/>
        </w:trPr>
        <w:tc>
          <w:tcPr>
            <w:tcW w:w="1560" w:type="dxa"/>
            <w:tcBorders>
              <w:top w:val="nil"/>
              <w:left w:val="single" w:color="auto" w:sz="4" w:space="0"/>
              <w:bottom w:val="single" w:color="auto" w:sz="4" w:space="0"/>
              <w:right w:val="single" w:color="auto" w:sz="4" w:space="0"/>
            </w:tcBorders>
            <w:vAlign w:val="bottom"/>
          </w:tcPr>
          <w:p w14:paraId="1CAF5192">
            <w:pPr>
              <w:spacing w:line="360" w:lineRule="auto"/>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其他未列明行业</w:t>
            </w:r>
          </w:p>
        </w:tc>
        <w:tc>
          <w:tcPr>
            <w:tcW w:w="1559" w:type="dxa"/>
            <w:tcBorders>
              <w:top w:val="nil"/>
              <w:left w:val="nil"/>
              <w:bottom w:val="single" w:color="auto" w:sz="4" w:space="0"/>
              <w:right w:val="single" w:color="auto" w:sz="4" w:space="0"/>
            </w:tcBorders>
            <w:vAlign w:val="center"/>
          </w:tcPr>
          <w:p w14:paraId="50185CAD">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从业人员（X）</w:t>
            </w:r>
          </w:p>
        </w:tc>
        <w:tc>
          <w:tcPr>
            <w:tcW w:w="1276" w:type="dxa"/>
            <w:tcBorders>
              <w:top w:val="nil"/>
              <w:left w:val="nil"/>
              <w:bottom w:val="single" w:color="auto" w:sz="4" w:space="0"/>
              <w:right w:val="single" w:color="auto" w:sz="4" w:space="0"/>
            </w:tcBorders>
            <w:vAlign w:val="center"/>
          </w:tcPr>
          <w:p w14:paraId="5E4DBBC5">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人</w:t>
            </w:r>
          </w:p>
        </w:tc>
        <w:tc>
          <w:tcPr>
            <w:tcW w:w="1701" w:type="dxa"/>
            <w:tcBorders>
              <w:top w:val="nil"/>
              <w:left w:val="nil"/>
              <w:bottom w:val="single" w:color="auto" w:sz="4" w:space="0"/>
              <w:right w:val="single" w:color="auto" w:sz="4" w:space="0"/>
            </w:tcBorders>
            <w:vAlign w:val="center"/>
          </w:tcPr>
          <w:p w14:paraId="50A2C0E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100≤X＜300</w:t>
            </w:r>
          </w:p>
        </w:tc>
        <w:tc>
          <w:tcPr>
            <w:tcW w:w="1701" w:type="dxa"/>
            <w:tcBorders>
              <w:top w:val="nil"/>
              <w:left w:val="nil"/>
              <w:bottom w:val="single" w:color="auto" w:sz="4" w:space="0"/>
              <w:right w:val="single" w:color="auto" w:sz="4" w:space="0"/>
            </w:tcBorders>
            <w:vAlign w:val="center"/>
          </w:tcPr>
          <w:p w14:paraId="47C6EA16">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10≤X＜100</w:t>
            </w:r>
          </w:p>
        </w:tc>
        <w:tc>
          <w:tcPr>
            <w:tcW w:w="992" w:type="dxa"/>
            <w:tcBorders>
              <w:top w:val="nil"/>
              <w:left w:val="nil"/>
              <w:bottom w:val="single" w:color="auto" w:sz="4" w:space="0"/>
              <w:right w:val="single" w:color="auto" w:sz="4" w:space="0"/>
            </w:tcBorders>
            <w:vAlign w:val="center"/>
          </w:tcPr>
          <w:p w14:paraId="3A1581F2">
            <w:pPr>
              <w:spacing w:line="360" w:lineRule="auto"/>
              <w:rPr>
                <w:rFonts w:ascii="宋体" w:hAnsi="宋体" w:cs="宋体"/>
                <w:color w:val="auto"/>
                <w:kern w:val="0"/>
                <w:sz w:val="18"/>
                <w:szCs w:val="18"/>
                <w:highlight w:val="none"/>
              </w:rPr>
            </w:pPr>
            <w:r>
              <w:rPr>
                <w:rFonts w:hint="eastAsia" w:ascii="宋体" w:hAnsi="宋体" w:cs="宋体"/>
                <w:color w:val="auto"/>
                <w:kern w:val="0"/>
                <w:sz w:val="18"/>
                <w:szCs w:val="18"/>
                <w:highlight w:val="none"/>
              </w:rPr>
              <w:t>X＜10</w:t>
            </w:r>
          </w:p>
        </w:tc>
      </w:tr>
    </w:tbl>
    <w:p w14:paraId="7A61C201">
      <w:pPr>
        <w:spacing w:line="360" w:lineRule="auto"/>
        <w:rPr>
          <w:rFonts w:ascii="宋体" w:hAnsi="宋体" w:cs="宋体"/>
          <w:color w:val="auto"/>
          <w:sz w:val="20"/>
          <w:szCs w:val="20"/>
          <w:highlight w:val="none"/>
        </w:rPr>
      </w:pPr>
      <w:r>
        <w:rPr>
          <w:rFonts w:hint="eastAsia" w:ascii="宋体" w:hAnsi="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175EC8AE">
      <w:pPr>
        <w:rPr>
          <w:rFonts w:ascii="宋体" w:hAnsi="宋体" w:cs="宋体"/>
          <w:color w:val="auto"/>
          <w:sz w:val="20"/>
          <w:szCs w:val="20"/>
          <w:highlight w:val="none"/>
        </w:rPr>
        <w:sectPr>
          <w:footerReference r:id="rId7" w:type="default"/>
          <w:pgSz w:w="11910" w:h="16840"/>
          <w:pgMar w:top="1440" w:right="1080" w:bottom="1440" w:left="1080" w:header="720" w:footer="720" w:gutter="0"/>
          <w:pgNumType w:fmt="decimal" w:start="1"/>
          <w:cols w:space="720" w:num="1"/>
        </w:sectPr>
      </w:pPr>
    </w:p>
    <w:p w14:paraId="63F17D42">
      <w:pPr>
        <w:pStyle w:val="27"/>
        <w:snapToGrid w:val="0"/>
        <w:spacing w:line="440" w:lineRule="exact"/>
        <w:jc w:val="center"/>
        <w:outlineLvl w:val="0"/>
        <w:rPr>
          <w:rFonts w:ascii="Cambria" w:hAnsi="Cambria"/>
          <w:b/>
          <w:bCs/>
          <w:color w:val="auto"/>
          <w:sz w:val="32"/>
          <w:szCs w:val="32"/>
          <w:highlight w:val="none"/>
        </w:rPr>
      </w:pPr>
      <w:bookmarkStart w:id="37" w:name="_Toc12962"/>
      <w:r>
        <w:rPr>
          <w:rFonts w:hint="eastAsia" w:ascii="Cambria" w:hAnsi="Cambria"/>
          <w:b/>
          <w:bCs/>
          <w:color w:val="auto"/>
          <w:sz w:val="32"/>
          <w:szCs w:val="32"/>
          <w:highlight w:val="none"/>
        </w:rPr>
        <w:t>第三章 项目需求一览表</w:t>
      </w:r>
      <w:bookmarkEnd w:id="37"/>
    </w:p>
    <w:p w14:paraId="564E793D">
      <w:pPr>
        <w:spacing w:line="276" w:lineRule="auto"/>
        <w:rPr>
          <w:rFonts w:ascii="宋体" w:hAnsi="宋体"/>
          <w:b/>
          <w:color w:val="auto"/>
          <w:highlight w:val="none"/>
        </w:rPr>
      </w:pPr>
      <w:r>
        <w:rPr>
          <w:rFonts w:hint="eastAsia" w:ascii="宋体" w:hAnsi="宋体"/>
          <w:b/>
          <w:color w:val="auto"/>
          <w:highlight w:val="none"/>
        </w:rPr>
        <w:t>说明：</w:t>
      </w:r>
    </w:p>
    <w:p w14:paraId="1247C842">
      <w:pPr>
        <w:adjustRightInd w:val="0"/>
        <w:spacing w:line="276" w:lineRule="auto"/>
        <w:ind w:left="6" w:firstLine="431"/>
        <w:rPr>
          <w:rFonts w:ascii="宋体" w:hAnsi="宋体"/>
          <w:bCs/>
          <w:color w:val="auto"/>
          <w:szCs w:val="21"/>
          <w:highlight w:val="none"/>
        </w:rPr>
      </w:pPr>
      <w:r>
        <w:rPr>
          <w:rFonts w:hint="eastAsia" w:ascii="宋体" w:hAnsi="宋体"/>
          <w:bCs/>
          <w:color w:val="auto"/>
          <w:sz w:val="24"/>
          <w:highlight w:val="none"/>
        </w:rPr>
        <w:t>1、</w:t>
      </w:r>
      <w:r>
        <w:rPr>
          <w:rFonts w:hint="eastAsia" w:ascii="宋体" w:hAnsi="宋体"/>
          <w:bCs/>
          <w:color w:val="auto"/>
          <w:szCs w:val="21"/>
          <w:highlight w:val="none"/>
        </w:rPr>
        <w:t>本服务需求一览表中标注</w:t>
      </w:r>
      <w:r>
        <w:rPr>
          <w:rFonts w:hint="eastAsia" w:ascii="宋体" w:hAnsi="宋体" w:cs="宋体"/>
          <w:bCs/>
          <w:color w:val="auto"/>
          <w:szCs w:val="21"/>
          <w:highlight w:val="none"/>
        </w:rPr>
        <w:t>▲</w:t>
      </w:r>
      <w:r>
        <w:rPr>
          <w:rFonts w:hint="eastAsia" w:ascii="宋体" w:hAnsi="宋体"/>
          <w:bCs/>
          <w:color w:val="auto"/>
          <w:szCs w:val="21"/>
          <w:highlight w:val="none"/>
        </w:rPr>
        <w:t>号的部分为实质性要求和条件。</w:t>
      </w:r>
    </w:p>
    <w:p w14:paraId="181B16A7">
      <w:pPr>
        <w:adjustRightInd w:val="0"/>
        <w:spacing w:line="276" w:lineRule="auto"/>
        <w:ind w:left="6" w:firstLine="431"/>
        <w:rPr>
          <w:rFonts w:ascii="宋体" w:hAnsi="宋体"/>
          <w:bCs/>
          <w:color w:val="auto"/>
          <w:szCs w:val="21"/>
          <w:highlight w:val="none"/>
        </w:rPr>
      </w:pPr>
      <w:r>
        <w:rPr>
          <w:rFonts w:hint="eastAsia" w:ascii="宋体" w:hAnsi="宋体"/>
          <w:bCs/>
          <w:color w:val="auto"/>
          <w:szCs w:val="21"/>
          <w:highlight w:val="none"/>
        </w:rPr>
        <w:t>2、本服务需求一览表中内容如与第六章“合同条款及格式”相关条款不一致的，以本表为准。</w:t>
      </w:r>
    </w:p>
    <w:p w14:paraId="5463D657">
      <w:pPr>
        <w:spacing w:line="276" w:lineRule="auto"/>
        <w:ind w:firstLine="420" w:firstLineChars="200"/>
        <w:rPr>
          <w:rFonts w:ascii="宋体" w:hAnsi="宋体"/>
          <w:b/>
          <w:color w:val="auto"/>
          <w:szCs w:val="21"/>
          <w:highlight w:val="none"/>
        </w:rPr>
      </w:pPr>
      <w:r>
        <w:rPr>
          <w:rFonts w:hint="eastAsia" w:ascii="宋体" w:hAnsi="宋体"/>
          <w:bCs/>
          <w:color w:val="auto"/>
          <w:szCs w:val="21"/>
          <w:highlight w:val="none"/>
        </w:rPr>
        <w:t>3、</w:t>
      </w:r>
      <w:r>
        <w:rPr>
          <w:rFonts w:hint="eastAsia" w:ascii="宋体" w:hAnsi="宋体"/>
          <w:b/>
          <w:color w:val="auto"/>
          <w:szCs w:val="21"/>
          <w:highlight w:val="none"/>
        </w:rPr>
        <w:t>竞标人的总报价金额不得超本项目预算金额，竞标报价中的分项金额不得超过本项目分项预算金额，否则响应文件作无效处理。</w:t>
      </w:r>
    </w:p>
    <w:p w14:paraId="669F4052">
      <w:pPr>
        <w:spacing w:line="276" w:lineRule="auto"/>
        <w:ind w:firstLine="422" w:firstLineChars="200"/>
        <w:rPr>
          <w:rFonts w:ascii="Calibri" w:hAnsi="Calibri"/>
          <w:b/>
          <w:bCs/>
          <w:color w:val="auto"/>
          <w:szCs w:val="21"/>
          <w:highlight w:val="none"/>
        </w:rPr>
      </w:pPr>
    </w:p>
    <w:p w14:paraId="3B117015">
      <w:pPr>
        <w:spacing w:line="276" w:lineRule="auto"/>
        <w:ind w:firstLine="422" w:firstLineChars="200"/>
        <w:rPr>
          <w:rFonts w:ascii="Calibri" w:hAnsi="Calibri"/>
          <w:b/>
          <w:bCs/>
          <w:color w:val="auto"/>
          <w:szCs w:val="21"/>
          <w:highlight w:val="none"/>
        </w:rPr>
      </w:pPr>
    </w:p>
    <w:p w14:paraId="50296E8C">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rPr>
        <w:t>项目名称：</w:t>
      </w:r>
      <w:r>
        <w:rPr>
          <w:rFonts w:hint="eastAsia" w:ascii="Calibri" w:hAnsi="Calibri"/>
          <w:b w:val="0"/>
          <w:bCs w:val="0"/>
          <w:color w:val="auto"/>
          <w:szCs w:val="21"/>
          <w:highlight w:val="none"/>
          <w:lang w:eastAsia="zh-CN"/>
        </w:rPr>
        <w:t>基于超短波监测管理一体化平台的基础平台符合性测试和互联互通测试服务</w:t>
      </w:r>
    </w:p>
    <w:p w14:paraId="259EBC1A">
      <w:pPr>
        <w:spacing w:line="276" w:lineRule="auto"/>
        <w:ind w:firstLine="420" w:firstLineChars="200"/>
        <w:rPr>
          <w:rFonts w:hint="eastAsia" w:ascii="Calibri" w:hAnsi="Calibri" w:eastAsia="宋体"/>
          <w:b w:val="0"/>
          <w:bCs w:val="0"/>
          <w:color w:val="auto"/>
          <w:szCs w:val="21"/>
          <w:highlight w:val="none"/>
          <w:lang w:eastAsia="zh-CN"/>
        </w:rPr>
      </w:pPr>
      <w:r>
        <w:rPr>
          <w:rFonts w:hint="eastAsia" w:ascii="Calibri" w:hAnsi="Calibri"/>
          <w:b w:val="0"/>
          <w:bCs w:val="0"/>
          <w:color w:val="auto"/>
          <w:szCs w:val="21"/>
          <w:highlight w:val="none"/>
          <w:lang w:val="en-US" w:eastAsia="zh-CN"/>
        </w:rPr>
        <w:t>标项</w:t>
      </w:r>
      <w:r>
        <w:rPr>
          <w:rFonts w:hint="eastAsia" w:ascii="Calibri" w:hAnsi="Calibri"/>
          <w:b w:val="0"/>
          <w:bCs w:val="0"/>
          <w:color w:val="auto"/>
          <w:szCs w:val="21"/>
          <w:highlight w:val="none"/>
        </w:rPr>
        <w:t>名称：</w:t>
      </w:r>
      <w:r>
        <w:rPr>
          <w:rFonts w:hint="eastAsia" w:ascii="Calibri" w:hAnsi="Calibri"/>
          <w:b w:val="0"/>
          <w:bCs w:val="0"/>
          <w:color w:val="auto"/>
          <w:szCs w:val="21"/>
          <w:highlight w:val="none"/>
          <w:lang w:eastAsia="zh-CN"/>
        </w:rPr>
        <w:t>基于超短波监测管理一体化平台的基础平台符合性测试和互联互通测试服务</w:t>
      </w:r>
    </w:p>
    <w:p w14:paraId="144275B5">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预算金额：</w:t>
      </w:r>
      <w:r>
        <w:rPr>
          <w:rFonts w:hint="eastAsia" w:ascii="宋体" w:hAnsi="宋体" w:cs="宋体"/>
          <w:color w:val="auto"/>
          <w:szCs w:val="21"/>
          <w:highlight w:val="none"/>
          <w:lang w:val="en-US" w:eastAsia="zh-CN"/>
        </w:rPr>
        <w:t>640000.00</w:t>
      </w:r>
      <w:r>
        <w:rPr>
          <w:rFonts w:hint="eastAsia" w:ascii="宋体" w:hAnsi="宋体" w:cs="宋体"/>
          <w:color w:val="auto"/>
          <w:szCs w:val="21"/>
          <w:highlight w:val="none"/>
        </w:rPr>
        <w:t>元</w:t>
      </w:r>
    </w:p>
    <w:p w14:paraId="512C8957">
      <w:pPr>
        <w:spacing w:line="276" w:lineRule="auto"/>
        <w:ind w:firstLine="420" w:firstLineChars="200"/>
        <w:rPr>
          <w:rFonts w:ascii="宋体" w:hAnsi="宋体" w:cs="宋体"/>
          <w:color w:val="auto"/>
          <w:sz w:val="22"/>
          <w:szCs w:val="22"/>
          <w:highlight w:val="none"/>
        </w:rPr>
      </w:pPr>
      <w:r>
        <w:rPr>
          <w:rFonts w:hint="eastAsia" w:ascii="宋体" w:hAnsi="宋体"/>
          <w:color w:val="auto"/>
          <w:szCs w:val="21"/>
          <w:highlight w:val="none"/>
        </w:rPr>
        <w:t>最高限价</w:t>
      </w:r>
      <w:r>
        <w:rPr>
          <w:rFonts w:hint="eastAsia" w:ascii="宋体" w:hAnsi="宋体" w:cs="宋体"/>
          <w:color w:val="auto"/>
          <w:sz w:val="22"/>
          <w:szCs w:val="22"/>
          <w:highlight w:val="none"/>
        </w:rPr>
        <w:t>：</w:t>
      </w:r>
      <w:r>
        <w:rPr>
          <w:rFonts w:hint="eastAsia" w:ascii="宋体" w:hAnsi="宋体" w:cs="宋体"/>
          <w:color w:val="auto"/>
          <w:szCs w:val="21"/>
          <w:highlight w:val="none"/>
          <w:lang w:val="en-US" w:eastAsia="zh-CN"/>
        </w:rPr>
        <w:t>640000.00</w:t>
      </w:r>
      <w:r>
        <w:rPr>
          <w:rFonts w:hint="eastAsia" w:ascii="宋体" w:hAnsi="宋体" w:cs="宋体"/>
          <w:color w:val="auto"/>
          <w:szCs w:val="21"/>
          <w:highlight w:val="none"/>
        </w:rPr>
        <w:t>元</w:t>
      </w:r>
    </w:p>
    <w:p w14:paraId="16BC9721">
      <w:pPr>
        <w:spacing w:line="276" w:lineRule="auto"/>
        <w:ind w:firstLine="440" w:firstLineChars="200"/>
        <w:rPr>
          <w:rFonts w:ascii="宋体" w:hAnsi="宋体" w:cs="宋体"/>
          <w:color w:val="auto"/>
          <w:sz w:val="22"/>
          <w:szCs w:val="22"/>
          <w:highlight w:val="none"/>
        </w:rPr>
      </w:pPr>
      <w:r>
        <w:rPr>
          <w:rFonts w:hint="eastAsia" w:ascii="宋体" w:hAnsi="宋体" w:cs="宋体"/>
          <w:color w:val="auto"/>
          <w:sz w:val="22"/>
          <w:szCs w:val="22"/>
          <w:highlight w:val="none"/>
        </w:rPr>
        <w:t>本项目采购标的对应的中小企业划分标准所属行业：其他未列明行业。</w:t>
      </w:r>
    </w:p>
    <w:tbl>
      <w:tblPr>
        <w:tblStyle w:val="54"/>
        <w:tblW w:w="9912" w:type="dxa"/>
        <w:tblInd w:w="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1"/>
        <w:gridCol w:w="8181"/>
      </w:tblGrid>
      <w:tr w14:paraId="3125B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37E7E4A1">
            <w:pPr>
              <w:spacing w:line="400" w:lineRule="exact"/>
              <w:ind w:firstLine="420" w:firstLineChars="200"/>
              <w:jc w:val="center"/>
              <w:textAlignment w:val="center"/>
              <w:rPr>
                <w:rFonts w:ascii="宋体" w:hAnsi="宋体" w:cs="宋体"/>
                <w:color w:val="auto"/>
                <w:kern w:val="0"/>
                <w:sz w:val="22"/>
                <w:szCs w:val="22"/>
                <w:highlight w:val="none"/>
                <w:lang w:bidi="ar"/>
              </w:rPr>
            </w:pPr>
            <w:r>
              <w:rPr>
                <w:rFonts w:hint="eastAsia" w:ascii="宋体" w:hAnsi="宋体" w:cs="宋体"/>
                <w:bCs/>
                <w:color w:val="auto"/>
                <w:szCs w:val="21"/>
                <w:highlight w:val="none"/>
              </w:rPr>
              <w:t>▲</w:t>
            </w:r>
            <w:r>
              <w:rPr>
                <w:rFonts w:ascii="Calibri" w:hAnsi="Calibri"/>
                <w:b/>
                <w:bCs/>
                <w:color w:val="auto"/>
                <w:szCs w:val="21"/>
                <w:highlight w:val="none"/>
              </w:rPr>
              <w:t>项目要求及技术需求</w:t>
            </w:r>
          </w:p>
        </w:tc>
      </w:tr>
      <w:tr w14:paraId="14624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9912" w:type="dxa"/>
            <w:gridSpan w:val="2"/>
            <w:tcBorders>
              <w:tl2br w:val="nil"/>
              <w:tr2bl w:val="nil"/>
            </w:tcBorders>
            <w:shd w:val="clear" w:color="auto" w:fill="auto"/>
            <w:vAlign w:val="center"/>
          </w:tcPr>
          <w:p w14:paraId="359D4C54">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一、项目背景和必要性</w:t>
            </w:r>
          </w:p>
          <w:p w14:paraId="7BA546CE">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根据《2026年度无线电管理经费业务计划编报指导意见》附件1“无线电管理经费申报要点明细表”中持续推进超短波监测一体化平台互联互通：“5.严格按照《超短波监测管理一体化平台技术规范(共5部分)》最新要求新建和升级改造超短波固定站，开展基础平台符合性测试、超短波监测管理一体化平台标准符合性测试、超短波监测管理互联互通测试”，以及《关于印发〈省级无线电管理一体化平台建设规范及技术要求〉的通知》（国无办函[2019]37号）等文件要求，省（区</w:t>
            </w:r>
            <w:r>
              <w:rPr>
                <w:rFonts w:hint="eastAsia" w:ascii="宋体" w:hAnsi="宋体" w:eastAsia="宋体" w:cs="宋体"/>
                <w:color w:val="auto"/>
                <w:sz w:val="21"/>
                <w:szCs w:val="21"/>
              </w:rPr>
              <w:t>/直辖市</w:t>
            </w:r>
            <w:r>
              <w:rPr>
                <w:rFonts w:hint="eastAsia" w:ascii="宋体" w:hAnsi="宋体" w:eastAsia="宋体" w:cs="宋体"/>
                <w:color w:val="auto"/>
                <w:sz w:val="21"/>
                <w:szCs w:val="21"/>
                <w:lang w:eastAsia="zh-Hans"/>
              </w:rPr>
              <w:t>）</w:t>
            </w:r>
            <w:r>
              <w:rPr>
                <w:rFonts w:hint="eastAsia" w:ascii="宋体" w:hAnsi="宋体" w:eastAsia="宋体" w:cs="宋体"/>
                <w:color w:val="auto"/>
                <w:sz w:val="21"/>
                <w:szCs w:val="21"/>
              </w:rPr>
              <w:t>级</w:t>
            </w:r>
            <w:r>
              <w:rPr>
                <w:rFonts w:hint="eastAsia" w:ascii="宋体" w:hAnsi="宋体" w:eastAsia="宋体" w:cs="宋体"/>
                <w:color w:val="auto"/>
                <w:sz w:val="21"/>
                <w:szCs w:val="21"/>
                <w:lang w:eastAsia="zh-Hans"/>
              </w:rPr>
              <w:t>无线电管理机构应</w:t>
            </w:r>
            <w:r>
              <w:rPr>
                <w:rFonts w:hint="eastAsia" w:ascii="宋体" w:hAnsi="宋体" w:eastAsia="宋体" w:cs="宋体"/>
                <w:color w:val="auto"/>
                <w:sz w:val="21"/>
                <w:szCs w:val="21"/>
              </w:rPr>
              <w:t>开展</w:t>
            </w:r>
            <w:r>
              <w:rPr>
                <w:rFonts w:hint="eastAsia" w:ascii="宋体" w:hAnsi="宋体" w:eastAsia="宋体" w:cs="宋体"/>
                <w:color w:val="auto"/>
                <w:sz w:val="21"/>
                <w:szCs w:val="21"/>
                <w:lang w:eastAsia="zh-Hans"/>
              </w:rPr>
              <w:t>超短波监测管理一体化平台建设，对全省（区</w:t>
            </w:r>
            <w:r>
              <w:rPr>
                <w:rFonts w:hint="eastAsia" w:ascii="宋体" w:hAnsi="宋体" w:eastAsia="宋体" w:cs="宋体"/>
                <w:color w:val="auto"/>
                <w:sz w:val="21"/>
                <w:szCs w:val="21"/>
              </w:rPr>
              <w:t>/直辖市</w:t>
            </w:r>
            <w:r>
              <w:rPr>
                <w:rFonts w:hint="eastAsia" w:ascii="宋体" w:hAnsi="宋体" w:eastAsia="宋体" w:cs="宋体"/>
                <w:color w:val="auto"/>
                <w:sz w:val="21"/>
                <w:szCs w:val="21"/>
                <w:lang w:eastAsia="zh-Hans"/>
              </w:rPr>
              <w:t>）监测设施进行统一联网和管控，以及通过“平台级”互联互通实现全国范围内监测设施数据采集、汇聚、</w:t>
            </w:r>
            <w:r>
              <w:rPr>
                <w:rFonts w:hint="eastAsia" w:ascii="宋体" w:hAnsi="宋体" w:eastAsia="宋体" w:cs="宋体"/>
                <w:color w:val="auto"/>
                <w:sz w:val="21"/>
                <w:szCs w:val="21"/>
              </w:rPr>
              <w:t>共享</w:t>
            </w:r>
            <w:r>
              <w:rPr>
                <w:rFonts w:hint="eastAsia" w:ascii="宋体" w:hAnsi="宋体" w:eastAsia="宋体" w:cs="宋体"/>
                <w:color w:val="auto"/>
                <w:sz w:val="21"/>
                <w:szCs w:val="21"/>
                <w:lang w:eastAsia="zh-Hans"/>
              </w:rPr>
              <w:t>。</w:t>
            </w:r>
          </w:p>
          <w:p w14:paraId="659D736F">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开展基于超短波监测管理一体化平台的基础平台符合性测试和互联互通测试的目的是确保我区超短波监测管理一体化平台跨平台接入国家中心平台时，遵循必要的接入原则和技术标准、规范，更好地满足国家中心、各省（区/直辖市）级平台之间的异地调用需求，提升跨平台互联互通的规范性、稳定性，提高联网监测设施的接入率、在线率，促进全国范围内监测数据汇集和共享。</w:t>
            </w:r>
          </w:p>
          <w:p w14:paraId="733151C6">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基于超短波监测管理一体化平台的基础平台符合性测试和互联互通测试服务内容包括基础平台集成符合性、网络质量、架构符合性、资源调配平台（管控系统）和监测设备等五部分测试内容，适用于在生产环境下对省（区/直辖市）级超短波监测管理一体化平台跨平台接入国家平台互联互通效果进行测试和评估，能够对省（区/直辖市）级超短波监测管理一体化平台建设和运行过程中存在的互联互通问题进行测试和分析，提出改进建议和协助问题整改。</w:t>
            </w:r>
          </w:p>
          <w:p w14:paraId="57382CDB">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b/>
                <w:color w:val="auto"/>
                <w:sz w:val="21"/>
                <w:szCs w:val="21"/>
                <w:lang w:eastAsia="zh-Hans"/>
              </w:rPr>
            </w:pPr>
            <w:r>
              <w:rPr>
                <w:rFonts w:hint="eastAsia" w:ascii="宋体" w:hAnsi="宋体" w:eastAsia="宋体" w:cs="宋体"/>
                <w:b/>
                <w:color w:val="auto"/>
                <w:sz w:val="21"/>
                <w:szCs w:val="21"/>
                <w:lang w:eastAsia="zh-Hans"/>
              </w:rPr>
              <w:t>二、服务内容</w:t>
            </w:r>
          </w:p>
          <w:p w14:paraId="211DBBC8">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（一）测试对象：</w:t>
            </w:r>
          </w:p>
          <w:p w14:paraId="489DCC38">
            <w:pPr>
              <w:keepNext w:val="0"/>
              <w:keepLines w:val="0"/>
              <w:pageBreakBefore w:val="0"/>
              <w:widowControl w:val="0"/>
              <w:kinsoku/>
              <w:wordWrap/>
              <w:overflowPunct/>
              <w:topLinePunct w:val="0"/>
              <w:autoSpaceDE/>
              <w:autoSpaceDN/>
              <w:bidi w:val="0"/>
              <w:spacing w:line="400" w:lineRule="exact"/>
              <w:ind w:firstLine="630" w:firstLineChars="300"/>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广西</w:t>
            </w:r>
            <w:r>
              <w:rPr>
                <w:rFonts w:hint="eastAsia" w:ascii="宋体" w:hAnsi="宋体" w:eastAsia="宋体" w:cs="宋体"/>
                <w:color w:val="auto"/>
                <w:sz w:val="21"/>
                <w:szCs w:val="21"/>
                <w:lang w:val="en-US" w:eastAsia="zh-Hans"/>
              </w:rPr>
              <w:t>壮族自治区</w:t>
            </w:r>
            <w:r>
              <w:rPr>
                <w:rFonts w:hint="eastAsia" w:ascii="宋体" w:hAnsi="宋体" w:eastAsia="宋体" w:cs="宋体"/>
                <w:color w:val="auto"/>
                <w:sz w:val="21"/>
                <w:szCs w:val="21"/>
                <w:lang w:eastAsia="zh-Hans"/>
              </w:rPr>
              <w:t>无线电监测管理一体化平台。</w:t>
            </w:r>
          </w:p>
          <w:p w14:paraId="68B067BE">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（二）测试需求：</w:t>
            </w:r>
          </w:p>
          <w:p w14:paraId="5288D756">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1.基础平台集成符合性测试</w:t>
            </w:r>
          </w:p>
          <w:p w14:paraId="6ECDE508">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eastAsia="zh-Hans"/>
              </w:rPr>
              <w:t>对无线电管理一体化平台应用开展基础平台符合性测试，包括系统基础信息检验、统一门户集成检验、统一身份集成检验、应用安全集成检验、地理信息集成校验、服务治理集成检验、超短波监测资源调配服务集成。对生产环境下业务应用系统集成注册在省级基础平台的效果进行测试和评估，对业务应用系统在集成注册过程中存在的问题进行测试和分析，并提出改进建议和协助问题整改，并提供测试报告一份。</w:t>
            </w:r>
            <w:r>
              <w:rPr>
                <w:rFonts w:hint="eastAsia" w:ascii="宋体" w:hAnsi="宋体" w:cs="宋体"/>
                <w:color w:val="auto"/>
                <w:sz w:val="21"/>
                <w:szCs w:val="21"/>
                <w:lang w:val="en-US" w:eastAsia="zh-CN"/>
              </w:rPr>
              <w:t>具体测试项如下</w:t>
            </w:r>
            <w:r>
              <w:rPr>
                <w:rFonts w:hint="eastAsia" w:ascii="宋体" w:hAnsi="宋体" w:eastAsia="宋体" w:cs="宋体"/>
                <w:color w:val="auto"/>
                <w:sz w:val="21"/>
                <w:szCs w:val="21"/>
                <w:lang w:eastAsia="zh-Hans"/>
              </w:rPr>
              <w:t>表所示</w:t>
            </w:r>
            <w:r>
              <w:rPr>
                <w:rFonts w:hint="eastAsia" w:ascii="宋体" w:hAnsi="宋体" w:cs="宋体"/>
                <w:color w:val="auto"/>
                <w:sz w:val="21"/>
                <w:szCs w:val="21"/>
                <w:lang w:val="en-US" w:eastAsia="zh-CN"/>
              </w:rPr>
              <w:t>：</w:t>
            </w:r>
          </w:p>
          <w:tbl>
            <w:tblPr>
              <w:tblStyle w:val="54"/>
              <w:tblW w:w="9579" w:type="dxa"/>
              <w:jc w:val="center"/>
              <w:tblLayout w:type="fixed"/>
              <w:tblCellMar>
                <w:top w:w="0" w:type="dxa"/>
                <w:left w:w="108" w:type="dxa"/>
                <w:bottom w:w="0" w:type="dxa"/>
                <w:right w:w="108" w:type="dxa"/>
              </w:tblCellMar>
            </w:tblPr>
            <w:tblGrid>
              <w:gridCol w:w="3346"/>
              <w:gridCol w:w="6233"/>
            </w:tblGrid>
            <w:tr w14:paraId="32019105">
              <w:tblPrEx>
                <w:tblCellMar>
                  <w:top w:w="0" w:type="dxa"/>
                  <w:left w:w="108" w:type="dxa"/>
                  <w:bottom w:w="0" w:type="dxa"/>
                  <w:right w:w="108" w:type="dxa"/>
                </w:tblCellMar>
              </w:tblPrEx>
              <w:trPr>
                <w:trHeight w:val="439" w:hRule="atLeast"/>
                <w:tblHeader/>
                <w:jc w:val="center"/>
              </w:trPr>
              <w:tc>
                <w:tcPr>
                  <w:tcW w:w="33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BB5B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测试内容</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26D7707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测试项</w:t>
                  </w:r>
                </w:p>
              </w:tc>
            </w:tr>
            <w:tr w14:paraId="708F9958">
              <w:tblPrEx>
                <w:tblCellMar>
                  <w:top w:w="0" w:type="dxa"/>
                  <w:left w:w="108" w:type="dxa"/>
                  <w:bottom w:w="0" w:type="dxa"/>
                  <w:right w:w="108" w:type="dxa"/>
                </w:tblCellMar>
              </w:tblPrEx>
              <w:trPr>
                <w:trHeight w:val="439" w:hRule="atLeast"/>
                <w:jc w:val="center"/>
              </w:trPr>
              <w:tc>
                <w:tcPr>
                  <w:tcW w:w="3346" w:type="dxa"/>
                  <w:vMerge w:val="restart"/>
                  <w:tcBorders>
                    <w:top w:val="single" w:color="auto" w:sz="4" w:space="0"/>
                    <w:left w:val="single" w:color="auto" w:sz="4" w:space="0"/>
                    <w:right w:val="single" w:color="auto" w:sz="4" w:space="0"/>
                  </w:tcBorders>
                  <w:shd w:val="clear" w:color="auto" w:fill="auto"/>
                  <w:noWrap/>
                  <w:vAlign w:val="center"/>
                </w:tcPr>
                <w:p w14:paraId="01252AD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基础平台集成符合性测试</w:t>
                  </w: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09E9FCB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rPr>
                    <w:t>系统基础信息检验</w:t>
                  </w:r>
                </w:p>
              </w:tc>
            </w:tr>
            <w:tr w14:paraId="2DFB9645">
              <w:tblPrEx>
                <w:tblCellMar>
                  <w:top w:w="0" w:type="dxa"/>
                  <w:left w:w="108" w:type="dxa"/>
                  <w:bottom w:w="0" w:type="dxa"/>
                  <w:right w:w="108" w:type="dxa"/>
                </w:tblCellMar>
              </w:tblPrEx>
              <w:trPr>
                <w:trHeight w:val="439" w:hRule="atLeast"/>
                <w:jc w:val="center"/>
              </w:trPr>
              <w:tc>
                <w:tcPr>
                  <w:tcW w:w="3346" w:type="dxa"/>
                  <w:vMerge w:val="continue"/>
                  <w:tcBorders>
                    <w:left w:val="single" w:color="auto" w:sz="4" w:space="0"/>
                    <w:right w:val="single" w:color="auto" w:sz="4" w:space="0"/>
                  </w:tcBorders>
                  <w:shd w:val="clear" w:color="auto" w:fill="auto"/>
                  <w:noWrap/>
                  <w:vAlign w:val="center"/>
                </w:tcPr>
                <w:p w14:paraId="4FFAAD2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5ED1B43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统一门户集成检验</w:t>
                  </w:r>
                </w:p>
              </w:tc>
            </w:tr>
            <w:tr w14:paraId="27234E48">
              <w:tblPrEx>
                <w:tblCellMar>
                  <w:top w:w="0" w:type="dxa"/>
                  <w:left w:w="108" w:type="dxa"/>
                  <w:bottom w:w="0" w:type="dxa"/>
                  <w:right w:w="108" w:type="dxa"/>
                </w:tblCellMar>
              </w:tblPrEx>
              <w:trPr>
                <w:trHeight w:val="439" w:hRule="atLeast"/>
                <w:jc w:val="center"/>
              </w:trPr>
              <w:tc>
                <w:tcPr>
                  <w:tcW w:w="3346" w:type="dxa"/>
                  <w:vMerge w:val="continue"/>
                  <w:tcBorders>
                    <w:left w:val="single" w:color="auto" w:sz="4" w:space="0"/>
                    <w:right w:val="single" w:color="auto" w:sz="4" w:space="0"/>
                  </w:tcBorders>
                  <w:shd w:val="clear" w:color="auto" w:fill="auto"/>
                  <w:noWrap/>
                  <w:vAlign w:val="center"/>
                </w:tcPr>
                <w:p w14:paraId="27C0AB5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2578D22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统一身份集成检验</w:t>
                  </w:r>
                </w:p>
              </w:tc>
            </w:tr>
            <w:tr w14:paraId="61B3B646">
              <w:tblPrEx>
                <w:tblCellMar>
                  <w:top w:w="0" w:type="dxa"/>
                  <w:left w:w="108" w:type="dxa"/>
                  <w:bottom w:w="0" w:type="dxa"/>
                  <w:right w:w="108" w:type="dxa"/>
                </w:tblCellMar>
              </w:tblPrEx>
              <w:trPr>
                <w:trHeight w:val="439" w:hRule="atLeast"/>
                <w:jc w:val="center"/>
              </w:trPr>
              <w:tc>
                <w:tcPr>
                  <w:tcW w:w="3346" w:type="dxa"/>
                  <w:vMerge w:val="continue"/>
                  <w:tcBorders>
                    <w:left w:val="single" w:color="auto" w:sz="4" w:space="0"/>
                    <w:right w:val="single" w:color="auto" w:sz="4" w:space="0"/>
                  </w:tcBorders>
                  <w:shd w:val="clear" w:color="auto" w:fill="auto"/>
                  <w:noWrap/>
                  <w:vAlign w:val="center"/>
                </w:tcPr>
                <w:p w14:paraId="107EDC6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6DDA106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应用安全集成检验</w:t>
                  </w:r>
                </w:p>
              </w:tc>
            </w:tr>
            <w:tr w14:paraId="339641D1">
              <w:tblPrEx>
                <w:tblCellMar>
                  <w:top w:w="0" w:type="dxa"/>
                  <w:left w:w="108" w:type="dxa"/>
                  <w:bottom w:w="0" w:type="dxa"/>
                  <w:right w:w="108" w:type="dxa"/>
                </w:tblCellMar>
              </w:tblPrEx>
              <w:trPr>
                <w:trHeight w:val="439" w:hRule="atLeast"/>
                <w:jc w:val="center"/>
              </w:trPr>
              <w:tc>
                <w:tcPr>
                  <w:tcW w:w="3346" w:type="dxa"/>
                  <w:vMerge w:val="continue"/>
                  <w:tcBorders>
                    <w:left w:val="single" w:color="auto" w:sz="4" w:space="0"/>
                    <w:right w:val="single" w:color="auto" w:sz="4" w:space="0"/>
                  </w:tcBorders>
                  <w:shd w:val="clear" w:color="auto" w:fill="auto"/>
                  <w:noWrap/>
                  <w:vAlign w:val="center"/>
                </w:tcPr>
                <w:p w14:paraId="466495A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1BCD71D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地理信息集成校验</w:t>
                  </w:r>
                </w:p>
              </w:tc>
            </w:tr>
            <w:tr w14:paraId="34F21978">
              <w:tblPrEx>
                <w:tblCellMar>
                  <w:top w:w="0" w:type="dxa"/>
                  <w:left w:w="108" w:type="dxa"/>
                  <w:bottom w:w="0" w:type="dxa"/>
                  <w:right w:w="108" w:type="dxa"/>
                </w:tblCellMar>
              </w:tblPrEx>
              <w:trPr>
                <w:trHeight w:val="439" w:hRule="atLeast"/>
                <w:jc w:val="center"/>
              </w:trPr>
              <w:tc>
                <w:tcPr>
                  <w:tcW w:w="3346" w:type="dxa"/>
                  <w:vMerge w:val="continue"/>
                  <w:tcBorders>
                    <w:left w:val="single" w:color="auto" w:sz="4" w:space="0"/>
                    <w:bottom w:val="single" w:color="auto" w:sz="4" w:space="0"/>
                    <w:right w:val="single" w:color="auto" w:sz="4" w:space="0"/>
                  </w:tcBorders>
                  <w:shd w:val="clear" w:color="auto" w:fill="auto"/>
                  <w:noWrap/>
                  <w:vAlign w:val="center"/>
                </w:tcPr>
                <w:p w14:paraId="2667C58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76123E6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服务治理集成检验</w:t>
                  </w:r>
                </w:p>
              </w:tc>
            </w:tr>
            <w:tr w14:paraId="0F785944">
              <w:tblPrEx>
                <w:tblCellMar>
                  <w:top w:w="0" w:type="dxa"/>
                  <w:left w:w="108" w:type="dxa"/>
                  <w:bottom w:w="0" w:type="dxa"/>
                  <w:right w:w="108" w:type="dxa"/>
                </w:tblCellMar>
              </w:tblPrEx>
              <w:trPr>
                <w:trHeight w:val="469" w:hRule="atLeast"/>
                <w:jc w:val="center"/>
              </w:trPr>
              <w:tc>
                <w:tcPr>
                  <w:tcW w:w="3346" w:type="dxa"/>
                  <w:vMerge w:val="continue"/>
                  <w:tcBorders>
                    <w:left w:val="single" w:color="auto" w:sz="4" w:space="0"/>
                    <w:bottom w:val="single" w:color="auto" w:sz="4" w:space="0"/>
                    <w:right w:val="single" w:color="auto" w:sz="4" w:space="0"/>
                  </w:tcBorders>
                  <w:shd w:val="clear" w:color="auto" w:fill="auto"/>
                  <w:noWrap/>
                  <w:vAlign w:val="center"/>
                </w:tcPr>
                <w:p w14:paraId="46C7CED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6233" w:type="dxa"/>
                  <w:tcBorders>
                    <w:top w:val="single" w:color="auto" w:sz="4" w:space="0"/>
                    <w:left w:val="single" w:color="auto" w:sz="4" w:space="0"/>
                    <w:bottom w:val="single" w:color="auto" w:sz="4" w:space="0"/>
                    <w:right w:val="single" w:color="auto" w:sz="4" w:space="0"/>
                  </w:tcBorders>
                  <w:shd w:val="clear" w:color="auto" w:fill="auto"/>
                  <w:vAlign w:val="center"/>
                </w:tcPr>
                <w:p w14:paraId="7A57A59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超短波监测资源调配服务集成</w:t>
                  </w:r>
                </w:p>
              </w:tc>
            </w:tr>
          </w:tbl>
          <w:p w14:paraId="2CA832B8">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Hans"/>
              </w:rPr>
              <w:t>2.对广西省无线电监测管理一体化平台开展互联互通测试并出具测试报告，以验证广西与国家平台之间互联互通情况，对我区超短波监测管理一体化平台建设和运行过程中存在的互联互通问题进行测试和分析，并提出改进建议和协助问题整改。对超短波监测管理一体化平台开展互联互通测试评估，包括平台互联网络质量测试、架构符合性测试、监测资源调配平台互联互通测试、监测设备互联互通测试。具体测试内容如下表所示</w:t>
            </w:r>
            <w:r>
              <w:rPr>
                <w:rFonts w:hint="eastAsia" w:ascii="宋体" w:hAnsi="宋体" w:cs="宋体"/>
                <w:color w:val="auto"/>
                <w:sz w:val="21"/>
                <w:szCs w:val="21"/>
                <w:lang w:eastAsia="zh-CN"/>
              </w:rPr>
              <w:t>：</w:t>
            </w:r>
          </w:p>
          <w:tbl>
            <w:tblPr>
              <w:tblStyle w:val="54"/>
              <w:tblW w:w="9579" w:type="dxa"/>
              <w:tblInd w:w="0" w:type="dxa"/>
              <w:tblLayout w:type="fixed"/>
              <w:tblCellMar>
                <w:top w:w="0" w:type="dxa"/>
                <w:left w:w="108" w:type="dxa"/>
                <w:bottom w:w="0" w:type="dxa"/>
                <w:right w:w="108" w:type="dxa"/>
              </w:tblCellMar>
            </w:tblPr>
            <w:tblGrid>
              <w:gridCol w:w="3104"/>
              <w:gridCol w:w="2313"/>
              <w:gridCol w:w="4162"/>
            </w:tblGrid>
            <w:tr w14:paraId="66F3E857">
              <w:tblPrEx>
                <w:tblCellMar>
                  <w:top w:w="0" w:type="dxa"/>
                  <w:left w:w="108" w:type="dxa"/>
                  <w:bottom w:w="0" w:type="dxa"/>
                  <w:right w:w="108" w:type="dxa"/>
                </w:tblCellMar>
              </w:tblPrEx>
              <w:trPr>
                <w:trHeight w:val="248" w:hRule="atLeast"/>
                <w:tblHeader/>
              </w:trPr>
              <w:tc>
                <w:tcPr>
                  <w:tcW w:w="31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476C53">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测试内容</w:t>
                  </w:r>
                </w:p>
              </w:tc>
              <w:tc>
                <w:tcPr>
                  <w:tcW w:w="64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138C2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测试项</w:t>
                  </w:r>
                </w:p>
              </w:tc>
            </w:tr>
            <w:tr w14:paraId="453AF77B">
              <w:tblPrEx>
                <w:tblCellMar>
                  <w:top w:w="0" w:type="dxa"/>
                  <w:left w:w="108" w:type="dxa"/>
                  <w:bottom w:w="0" w:type="dxa"/>
                  <w:right w:w="108" w:type="dxa"/>
                </w:tblCellMar>
              </w:tblPrEx>
              <w:trPr>
                <w:trHeight w:val="248" w:hRule="atLeast"/>
              </w:trPr>
              <w:tc>
                <w:tcPr>
                  <w:tcW w:w="3104" w:type="dxa"/>
                  <w:vMerge w:val="restart"/>
                  <w:tcBorders>
                    <w:top w:val="single" w:color="auto" w:sz="4" w:space="0"/>
                    <w:left w:val="single" w:color="auto" w:sz="4" w:space="0"/>
                    <w:right w:val="single" w:color="auto" w:sz="4" w:space="0"/>
                  </w:tcBorders>
                  <w:shd w:val="clear" w:color="auto" w:fill="auto"/>
                  <w:noWrap/>
                  <w:vAlign w:val="center"/>
                </w:tcPr>
                <w:p w14:paraId="3625325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超短波监测管理一体化平台互联互通测试</w:t>
                  </w:r>
                </w:p>
              </w:tc>
              <w:tc>
                <w:tcPr>
                  <w:tcW w:w="2313" w:type="dxa"/>
                  <w:vMerge w:val="restart"/>
                  <w:tcBorders>
                    <w:top w:val="single" w:color="auto" w:sz="4" w:space="0"/>
                    <w:left w:val="single" w:color="auto" w:sz="4" w:space="0"/>
                    <w:right w:val="single" w:color="auto" w:sz="4" w:space="0"/>
                  </w:tcBorders>
                  <w:shd w:val="clear" w:color="auto" w:fill="auto"/>
                  <w:vAlign w:val="center"/>
                </w:tcPr>
                <w:p w14:paraId="4C08FA3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平台互联网络质量</w:t>
                  </w: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0F72E15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联网速率</w:t>
                  </w:r>
                </w:p>
              </w:tc>
            </w:tr>
            <w:tr w14:paraId="380727B0">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02350AB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47E8F0F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4E6FF49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网络延迟</w:t>
                  </w:r>
                </w:p>
              </w:tc>
            </w:tr>
            <w:tr w14:paraId="3622F04C">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058A54D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bottom w:val="single" w:color="auto" w:sz="4" w:space="0"/>
                    <w:right w:val="single" w:color="auto" w:sz="4" w:space="0"/>
                  </w:tcBorders>
                  <w:shd w:val="clear" w:color="auto" w:fill="auto"/>
                  <w:vAlign w:val="center"/>
                </w:tcPr>
                <w:p w14:paraId="26E4B38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2EC77D6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丢包率</w:t>
                  </w:r>
                </w:p>
              </w:tc>
            </w:tr>
            <w:tr w14:paraId="51DBD9FB">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7569749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restart"/>
                  <w:tcBorders>
                    <w:top w:val="single" w:color="auto" w:sz="4" w:space="0"/>
                    <w:left w:val="single" w:color="auto" w:sz="4" w:space="0"/>
                    <w:right w:val="single" w:color="auto" w:sz="4" w:space="0"/>
                  </w:tcBorders>
                  <w:shd w:val="clear" w:color="auto" w:fill="auto"/>
                  <w:vAlign w:val="center"/>
                </w:tcPr>
                <w:p w14:paraId="69A9BA2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架构符合性</w:t>
                  </w: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2F57AED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监测数据转发功能</w:t>
                  </w:r>
                </w:p>
              </w:tc>
            </w:tr>
            <w:tr w14:paraId="4C19D342">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7A46448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74BFE0C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001F4EA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监测数据传输方式</w:t>
                  </w:r>
                </w:p>
              </w:tc>
            </w:tr>
            <w:tr w14:paraId="06477FC8">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15CA5C5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0F45B49A">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002E2B8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监测任务信息一致</w:t>
                  </w:r>
                </w:p>
              </w:tc>
            </w:tr>
            <w:tr w14:paraId="47EF33FE">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7FFDCA8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4650D34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25C66A7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监测资源变更推送功能</w:t>
                  </w:r>
                </w:p>
              </w:tc>
            </w:tr>
            <w:tr w14:paraId="751A6BC8">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3EAA6C2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2B047FB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66A578D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监测设施状态变更推送功能</w:t>
                  </w:r>
                </w:p>
              </w:tc>
            </w:tr>
            <w:tr w14:paraId="5E8F3CC0">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11A5CC06">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bottom w:val="single" w:color="auto" w:sz="4" w:space="0"/>
                    <w:right w:val="single" w:color="auto" w:sz="4" w:space="0"/>
                  </w:tcBorders>
                  <w:shd w:val="clear" w:color="auto" w:fill="auto"/>
                  <w:vAlign w:val="center"/>
                </w:tcPr>
                <w:p w14:paraId="2090B91B">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6B19F9C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监测设施授权信息查询功能</w:t>
                  </w:r>
                </w:p>
              </w:tc>
            </w:tr>
            <w:tr w14:paraId="4EDC1CF6">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381A714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restart"/>
                  <w:tcBorders>
                    <w:top w:val="single" w:color="auto" w:sz="4" w:space="0"/>
                    <w:left w:val="single" w:color="auto" w:sz="4" w:space="0"/>
                    <w:right w:val="single" w:color="auto" w:sz="4" w:space="0"/>
                  </w:tcBorders>
                  <w:shd w:val="clear" w:color="auto" w:fill="auto"/>
                  <w:vAlign w:val="center"/>
                </w:tcPr>
                <w:p w14:paraId="6978C7B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监测资源调配平台（管控系统）</w:t>
                  </w: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5991F11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连通性（查询服务接口）</w:t>
                  </w:r>
                </w:p>
              </w:tc>
            </w:tr>
            <w:tr w14:paraId="5E7BAFB0">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6D4FD60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2AD250B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616E45E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并发性（查询服务接口）</w:t>
                  </w:r>
                </w:p>
              </w:tc>
            </w:tr>
            <w:tr w14:paraId="0620CF1B">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4A0FE2C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5E7CD9F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76C1DBF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连通性（发起设备操作服务接口）</w:t>
                  </w:r>
                </w:p>
              </w:tc>
            </w:tr>
            <w:tr w14:paraId="4A869A87">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33B5E4C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64174378">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6B8438D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并发性（发起设备操作服务接口）</w:t>
                  </w:r>
                </w:p>
              </w:tc>
            </w:tr>
            <w:tr w14:paraId="4C1BFE3C">
              <w:tblPrEx>
                <w:tblCellMar>
                  <w:top w:w="0" w:type="dxa"/>
                  <w:left w:w="108" w:type="dxa"/>
                  <w:bottom w:w="0" w:type="dxa"/>
                  <w:right w:w="108" w:type="dxa"/>
                </w:tblCellMar>
              </w:tblPrEx>
              <w:trPr>
                <w:trHeight w:val="248" w:hRule="atLeast"/>
              </w:trPr>
              <w:tc>
                <w:tcPr>
                  <w:tcW w:w="3104" w:type="dxa"/>
                  <w:vMerge w:val="continue"/>
                  <w:tcBorders>
                    <w:left w:val="single" w:color="auto" w:sz="4" w:space="0"/>
                    <w:right w:val="single" w:color="auto" w:sz="4" w:space="0"/>
                  </w:tcBorders>
                  <w:shd w:val="clear" w:color="auto" w:fill="auto"/>
                  <w:noWrap/>
                  <w:vAlign w:val="center"/>
                </w:tcPr>
                <w:p w14:paraId="28E30CE1">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bottom w:val="single" w:color="auto" w:sz="4" w:space="0"/>
                    <w:right w:val="single" w:color="auto" w:sz="4" w:space="0"/>
                  </w:tcBorders>
                  <w:shd w:val="clear" w:color="auto" w:fill="auto"/>
                  <w:vAlign w:val="center"/>
                </w:tcPr>
                <w:p w14:paraId="2971D36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0EC8E59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兼容性（发起设备操作服务接口）</w:t>
                  </w:r>
                </w:p>
              </w:tc>
            </w:tr>
            <w:tr w14:paraId="5B9585CB">
              <w:tblPrEx>
                <w:tblCellMar>
                  <w:top w:w="0" w:type="dxa"/>
                  <w:left w:w="108" w:type="dxa"/>
                  <w:bottom w:w="0" w:type="dxa"/>
                  <w:right w:w="108" w:type="dxa"/>
                </w:tblCellMar>
              </w:tblPrEx>
              <w:trPr>
                <w:trHeight w:val="310" w:hRule="atLeast"/>
              </w:trPr>
              <w:tc>
                <w:tcPr>
                  <w:tcW w:w="3104" w:type="dxa"/>
                  <w:vMerge w:val="continue"/>
                  <w:tcBorders>
                    <w:left w:val="single" w:color="auto" w:sz="4" w:space="0"/>
                    <w:right w:val="single" w:color="auto" w:sz="4" w:space="0"/>
                  </w:tcBorders>
                  <w:shd w:val="clear" w:color="auto" w:fill="auto"/>
                  <w:noWrap/>
                  <w:vAlign w:val="center"/>
                </w:tcPr>
                <w:p w14:paraId="68F528B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restart"/>
                  <w:tcBorders>
                    <w:top w:val="single" w:color="auto" w:sz="4" w:space="0"/>
                    <w:left w:val="single" w:color="auto" w:sz="4" w:space="0"/>
                    <w:right w:val="single" w:color="auto" w:sz="4" w:space="0"/>
                  </w:tcBorders>
                  <w:shd w:val="clear" w:color="auto" w:fill="auto"/>
                  <w:vAlign w:val="center"/>
                </w:tcPr>
                <w:p w14:paraId="202834C0">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监测设备</w:t>
                  </w: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417C60AC">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服务接口改造率</w:t>
                  </w:r>
                </w:p>
              </w:tc>
            </w:tr>
            <w:tr w14:paraId="6BC0E178">
              <w:tblPrEx>
                <w:tblCellMar>
                  <w:top w:w="0" w:type="dxa"/>
                  <w:left w:w="108" w:type="dxa"/>
                  <w:bottom w:w="0" w:type="dxa"/>
                  <w:right w:w="108" w:type="dxa"/>
                </w:tblCellMar>
              </w:tblPrEx>
              <w:trPr>
                <w:trHeight w:val="310" w:hRule="atLeast"/>
              </w:trPr>
              <w:tc>
                <w:tcPr>
                  <w:tcW w:w="3104" w:type="dxa"/>
                  <w:vMerge w:val="continue"/>
                  <w:tcBorders>
                    <w:left w:val="single" w:color="auto" w:sz="4" w:space="0"/>
                    <w:right w:val="single" w:color="auto" w:sz="4" w:space="0"/>
                  </w:tcBorders>
                  <w:shd w:val="clear" w:color="auto" w:fill="auto"/>
                  <w:noWrap/>
                  <w:vAlign w:val="center"/>
                </w:tcPr>
                <w:p w14:paraId="123A986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6CF4C70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0585740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响应时间通过率</w:t>
                  </w:r>
                </w:p>
              </w:tc>
            </w:tr>
            <w:tr w14:paraId="4E4FDF62">
              <w:tblPrEx>
                <w:tblCellMar>
                  <w:top w:w="0" w:type="dxa"/>
                  <w:left w:w="108" w:type="dxa"/>
                  <w:bottom w:w="0" w:type="dxa"/>
                  <w:right w:w="108" w:type="dxa"/>
                </w:tblCellMar>
              </w:tblPrEx>
              <w:trPr>
                <w:trHeight w:val="310" w:hRule="atLeast"/>
              </w:trPr>
              <w:tc>
                <w:tcPr>
                  <w:tcW w:w="3104" w:type="dxa"/>
                  <w:vMerge w:val="continue"/>
                  <w:tcBorders>
                    <w:left w:val="single" w:color="auto" w:sz="4" w:space="0"/>
                    <w:right w:val="single" w:color="auto" w:sz="4" w:space="0"/>
                  </w:tcBorders>
                  <w:shd w:val="clear" w:color="auto" w:fill="auto"/>
                  <w:noWrap/>
                  <w:vAlign w:val="center"/>
                </w:tcPr>
                <w:p w14:paraId="6196A9E2">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right w:val="single" w:color="auto" w:sz="4" w:space="0"/>
                  </w:tcBorders>
                  <w:shd w:val="clear" w:color="auto" w:fill="auto"/>
                  <w:vAlign w:val="center"/>
                </w:tcPr>
                <w:p w14:paraId="6C003584">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5F11F0CD">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稳定性测试</w:t>
                  </w:r>
                </w:p>
              </w:tc>
            </w:tr>
            <w:tr w14:paraId="24668D2F">
              <w:tblPrEx>
                <w:tblCellMar>
                  <w:top w:w="0" w:type="dxa"/>
                  <w:left w:w="108" w:type="dxa"/>
                  <w:bottom w:w="0" w:type="dxa"/>
                  <w:right w:w="108" w:type="dxa"/>
                </w:tblCellMar>
              </w:tblPrEx>
              <w:trPr>
                <w:trHeight w:val="318" w:hRule="atLeast"/>
              </w:trPr>
              <w:tc>
                <w:tcPr>
                  <w:tcW w:w="3104" w:type="dxa"/>
                  <w:vMerge w:val="continue"/>
                  <w:tcBorders>
                    <w:left w:val="single" w:color="auto" w:sz="4" w:space="0"/>
                    <w:bottom w:val="single" w:color="auto" w:sz="4" w:space="0"/>
                    <w:right w:val="single" w:color="auto" w:sz="4" w:space="0"/>
                  </w:tcBorders>
                  <w:shd w:val="clear" w:color="auto" w:fill="auto"/>
                  <w:noWrap/>
                  <w:vAlign w:val="center"/>
                </w:tcPr>
                <w:p w14:paraId="6939968E">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2313" w:type="dxa"/>
                  <w:vMerge w:val="continue"/>
                  <w:tcBorders>
                    <w:left w:val="single" w:color="auto" w:sz="4" w:space="0"/>
                    <w:bottom w:val="single" w:color="auto" w:sz="4" w:space="0"/>
                    <w:right w:val="single" w:color="auto" w:sz="4" w:space="0"/>
                  </w:tcBorders>
                  <w:shd w:val="clear" w:color="auto" w:fill="auto"/>
                  <w:vAlign w:val="center"/>
                </w:tcPr>
                <w:p w14:paraId="6151AB43">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p>
              </w:tc>
              <w:tc>
                <w:tcPr>
                  <w:tcW w:w="4162" w:type="dxa"/>
                  <w:tcBorders>
                    <w:top w:val="single" w:color="auto" w:sz="4" w:space="0"/>
                    <w:left w:val="single" w:color="auto" w:sz="4" w:space="0"/>
                    <w:bottom w:val="single" w:color="auto" w:sz="4" w:space="0"/>
                    <w:right w:val="single" w:color="auto" w:sz="4" w:space="0"/>
                  </w:tcBorders>
                  <w:shd w:val="clear" w:color="auto" w:fill="auto"/>
                  <w:vAlign w:val="center"/>
                </w:tcPr>
                <w:p w14:paraId="152415D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连续启停测试</w:t>
                  </w:r>
                </w:p>
              </w:tc>
            </w:tr>
          </w:tbl>
          <w:p w14:paraId="6DD263A1">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1"/>
                <w:szCs w:val="21"/>
                <w:lang w:val="en-US" w:eastAsia="zh-CN"/>
              </w:rPr>
            </w:pPr>
          </w:p>
          <w:p w14:paraId="54AFB442">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val="en-US" w:eastAsia="zh-CN"/>
              </w:rPr>
              <w:t>3.交付成果：</w:t>
            </w:r>
            <w:r>
              <w:rPr>
                <w:rFonts w:hint="eastAsia" w:ascii="宋体" w:hAnsi="宋体" w:cs="宋体"/>
                <w:color w:val="auto"/>
                <w:sz w:val="21"/>
                <w:szCs w:val="21"/>
                <w:lang w:val="en-US" w:eastAsia="zh-CN"/>
              </w:rPr>
              <w:t>成交</w:t>
            </w:r>
            <w:r>
              <w:rPr>
                <w:rFonts w:hint="eastAsia" w:ascii="宋体" w:hAnsi="宋体" w:eastAsia="宋体" w:cs="宋体"/>
                <w:color w:val="auto"/>
                <w:sz w:val="21"/>
                <w:szCs w:val="21"/>
                <w:lang w:val="en-US" w:eastAsia="zh-CN"/>
              </w:rPr>
              <w:t>人需提供超短波监测管理一体化平台互联互通测试报告、基础平台集成符合性测试和项目总结报告各一份。</w:t>
            </w:r>
          </w:p>
          <w:p w14:paraId="5A45617A">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4.需遵循的主要测试依据：《省级无线电管理一体化平台建设规范及技术要求》以及与之相关的国家标准、行业标准、团体标准、文件规定等。</w:t>
            </w:r>
          </w:p>
          <w:p w14:paraId="32B9600F">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（1）《省级无线电管理一体化平台建设规范及技术要求》</w:t>
            </w:r>
          </w:p>
          <w:p w14:paraId="0CA6F805">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（2）《无线电管理一体化平台体系架构及应用规范》</w:t>
            </w:r>
          </w:p>
          <w:p w14:paraId="7C857FC0">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（3）《无线电管理一体化平台集成规范 第1部分：服务治理》</w:t>
            </w:r>
          </w:p>
          <w:p w14:paraId="2882E1D6">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（4）《无线电管理一体化平台集成规范 第2部分：统一身份》</w:t>
            </w:r>
          </w:p>
          <w:p w14:paraId="52DE59E8">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（5）《无线电管理一体化平台集成规范 第3部分：平台级互联互通》</w:t>
            </w:r>
          </w:p>
          <w:p w14:paraId="372BF60B">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（6）《无线电管理一体化平台集成规范 第4部分：应用安全》</w:t>
            </w:r>
          </w:p>
          <w:p w14:paraId="2C8AD8E4">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（7）《无线电管理一体化平台集成规范 第5部分：地理信息》</w:t>
            </w:r>
          </w:p>
          <w:p w14:paraId="65AF74F3">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（8）《超短波监测管理一体化平台技术规范 第1部分：总体架构》（2023修订版）</w:t>
            </w:r>
          </w:p>
          <w:p w14:paraId="17266B1E">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（9） 《超短波监测管理一体化平台技术规范 第2部分：服务设计》（2023修订版）</w:t>
            </w:r>
          </w:p>
          <w:p w14:paraId="37E81366">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（10）《超短波监测管理一体化平台技术规范 第3部分：设备操作服务（2023修订版）</w:t>
            </w:r>
          </w:p>
          <w:p w14:paraId="07EB3C4D">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（11）《超短波监测管理一体化平台技术规范 第5部分：监测资源调配平台》（2023修订版）</w:t>
            </w:r>
          </w:p>
          <w:p w14:paraId="47A003C9">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（12）《超短波监测管理一体化平台技术规范 第5部分：管控系统》 SOAP报文结构补充说明</w:t>
            </w:r>
          </w:p>
          <w:p w14:paraId="44BA44BB">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（三）验收要求：</w:t>
            </w:r>
          </w:p>
          <w:p w14:paraId="38EB9400">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1.验收依据</w:t>
            </w:r>
          </w:p>
          <w:p w14:paraId="40998437">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本项目验收依据国家相关标准要求、项目</w:t>
            </w:r>
            <w:r>
              <w:rPr>
                <w:rFonts w:hint="eastAsia" w:ascii="宋体" w:hAnsi="宋体" w:cs="宋体"/>
                <w:color w:val="auto"/>
                <w:sz w:val="21"/>
                <w:szCs w:val="21"/>
                <w:lang w:val="en-US" w:eastAsia="zh-CN"/>
              </w:rPr>
              <w:t>采购</w:t>
            </w:r>
            <w:r>
              <w:rPr>
                <w:rFonts w:hint="eastAsia" w:ascii="宋体" w:hAnsi="宋体" w:eastAsia="宋体" w:cs="宋体"/>
                <w:color w:val="auto"/>
                <w:sz w:val="21"/>
                <w:szCs w:val="21"/>
                <w:lang w:eastAsia="zh-Hans"/>
              </w:rPr>
              <w:t>文件、</w:t>
            </w:r>
            <w:r>
              <w:rPr>
                <w:rFonts w:hint="eastAsia" w:ascii="宋体" w:hAnsi="宋体" w:cs="宋体"/>
                <w:color w:val="auto"/>
                <w:sz w:val="21"/>
                <w:szCs w:val="21"/>
                <w:lang w:val="en-US" w:eastAsia="zh-CN"/>
              </w:rPr>
              <w:t>响应</w:t>
            </w:r>
            <w:r>
              <w:rPr>
                <w:rFonts w:hint="eastAsia" w:ascii="宋体" w:hAnsi="宋体" w:eastAsia="宋体" w:cs="宋体"/>
                <w:color w:val="auto"/>
                <w:sz w:val="21"/>
                <w:szCs w:val="21"/>
                <w:lang w:eastAsia="zh-Hans"/>
              </w:rPr>
              <w:t>文件、合同等相关规范要求执行。</w:t>
            </w:r>
          </w:p>
          <w:p w14:paraId="5C71FF01">
            <w:pPr>
              <w:keepNext w:val="0"/>
              <w:keepLines w:val="0"/>
              <w:pageBreakBefore w:val="0"/>
              <w:widowControl w:val="0"/>
              <w:kinsoku/>
              <w:wordWrap/>
              <w:overflowPunct/>
              <w:topLinePunct w:val="0"/>
              <w:autoSpaceDE/>
              <w:autoSpaceDN/>
              <w:bidi w:val="0"/>
              <w:spacing w:line="400" w:lineRule="exact"/>
              <w:jc w:val="both"/>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eastAsia="zh-Hans"/>
              </w:rPr>
              <w:t>2.</w:t>
            </w:r>
            <w:r>
              <w:rPr>
                <w:rFonts w:hint="eastAsia" w:ascii="宋体" w:hAnsi="宋体" w:cs="宋体"/>
                <w:color w:val="auto"/>
                <w:sz w:val="21"/>
                <w:szCs w:val="21"/>
                <w:lang w:val="en-US" w:eastAsia="zh-CN"/>
              </w:rPr>
              <w:t>验收内容</w:t>
            </w:r>
          </w:p>
          <w:p w14:paraId="0FB1E412">
            <w:pPr>
              <w:keepNext w:val="0"/>
              <w:keepLines w:val="0"/>
              <w:pageBreakBefore w:val="0"/>
              <w:widowControl w:val="0"/>
              <w:kinsoku/>
              <w:wordWrap/>
              <w:overflowPunct/>
              <w:topLinePunct w:val="0"/>
              <w:autoSpaceDE/>
              <w:autoSpaceDN/>
              <w:bidi w:val="0"/>
              <w:spacing w:line="400" w:lineRule="exact"/>
              <w:ind w:firstLine="640"/>
              <w:jc w:val="both"/>
              <w:textAlignment w:val="auto"/>
              <w:rPr>
                <w:rFonts w:hint="eastAsia" w:ascii="宋体" w:hAnsi="宋体" w:eastAsia="宋体" w:cs="宋体"/>
                <w:color w:val="auto"/>
                <w:sz w:val="21"/>
                <w:szCs w:val="21"/>
                <w:lang w:eastAsia="zh-Hans"/>
              </w:rPr>
            </w:pPr>
            <w:r>
              <w:rPr>
                <w:rFonts w:hint="eastAsia" w:ascii="宋体" w:hAnsi="宋体" w:cs="宋体"/>
                <w:color w:val="auto"/>
                <w:sz w:val="21"/>
                <w:szCs w:val="21"/>
                <w:lang w:eastAsia="zh-CN"/>
              </w:rPr>
              <w:t>成交</w:t>
            </w:r>
            <w:r>
              <w:rPr>
                <w:rFonts w:hint="eastAsia" w:ascii="宋体" w:hAnsi="宋体" w:eastAsia="宋体" w:cs="宋体"/>
                <w:color w:val="auto"/>
                <w:sz w:val="21"/>
                <w:szCs w:val="21"/>
                <w:lang w:eastAsia="zh-Hans"/>
              </w:rPr>
              <w:t>人出具</w:t>
            </w:r>
            <w:r>
              <w:rPr>
                <w:rFonts w:hint="eastAsia" w:ascii="宋体" w:hAnsi="宋体" w:cs="宋体"/>
                <w:color w:val="auto"/>
                <w:sz w:val="21"/>
                <w:szCs w:val="21"/>
                <w:lang w:eastAsia="zh-CN"/>
              </w:rPr>
              <w:t>的</w:t>
            </w:r>
            <w:r>
              <w:rPr>
                <w:rFonts w:hint="eastAsia" w:ascii="宋体" w:hAnsi="宋体" w:eastAsia="宋体" w:cs="宋体"/>
                <w:color w:val="auto"/>
                <w:sz w:val="21"/>
                <w:szCs w:val="21"/>
                <w:lang w:eastAsia="zh-Hans"/>
              </w:rPr>
              <w:t>符合标准要求的测试报告</w:t>
            </w:r>
            <w:r>
              <w:rPr>
                <w:rFonts w:hint="eastAsia" w:ascii="宋体" w:hAnsi="宋体" w:cs="宋体"/>
                <w:color w:val="auto"/>
                <w:sz w:val="21"/>
                <w:szCs w:val="21"/>
                <w:lang w:val="en-US" w:eastAsia="zh-CN"/>
              </w:rPr>
              <w:t>和</w:t>
            </w:r>
            <w:r>
              <w:rPr>
                <w:rFonts w:hint="eastAsia" w:ascii="宋体" w:hAnsi="宋体" w:eastAsia="宋体" w:cs="宋体"/>
                <w:color w:val="auto"/>
                <w:sz w:val="21"/>
                <w:szCs w:val="21"/>
                <w:lang w:eastAsia="zh-Hans"/>
              </w:rPr>
              <w:t>项目总结报告。</w:t>
            </w:r>
          </w:p>
          <w:p w14:paraId="60BF2374">
            <w:pPr>
              <w:keepNext w:val="0"/>
              <w:keepLines w:val="0"/>
              <w:pageBreakBefore w:val="0"/>
              <w:widowControl w:val="0"/>
              <w:kinsoku/>
              <w:wordWrap/>
              <w:overflowPunct/>
              <w:topLinePunct w:val="0"/>
              <w:autoSpaceDE/>
              <w:autoSpaceDN/>
              <w:bidi w:val="0"/>
              <w:spacing w:line="400" w:lineRule="exact"/>
              <w:jc w:val="both"/>
              <w:textAlignment w:val="auto"/>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（四）实时服务要求：</w:t>
            </w:r>
          </w:p>
          <w:p w14:paraId="1FBFF408">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eastAsia="宋体" w:cs="宋体"/>
                <w:color w:val="auto"/>
                <w:sz w:val="21"/>
                <w:szCs w:val="21"/>
                <w:lang w:eastAsia="zh-Hans"/>
              </w:rPr>
            </w:pPr>
            <w:r>
              <w:rPr>
                <w:rFonts w:hint="eastAsia" w:ascii="宋体" w:hAnsi="宋体" w:cs="宋体"/>
                <w:color w:val="auto"/>
                <w:sz w:val="21"/>
                <w:szCs w:val="21"/>
                <w:lang w:eastAsia="zh-CN"/>
              </w:rPr>
              <w:t>成交</w:t>
            </w:r>
            <w:r>
              <w:rPr>
                <w:rFonts w:hint="eastAsia" w:ascii="宋体" w:hAnsi="宋体" w:eastAsia="宋体" w:cs="宋体"/>
                <w:color w:val="auto"/>
                <w:sz w:val="21"/>
                <w:szCs w:val="21"/>
                <w:lang w:eastAsia="zh-Hans"/>
              </w:rPr>
              <w:t>人需设立统一的实时服务窗口，并配备专门的服务人员来对接</w:t>
            </w:r>
            <w:r>
              <w:rPr>
                <w:rFonts w:hint="eastAsia" w:ascii="宋体" w:hAnsi="宋体" w:cs="宋体"/>
                <w:color w:val="auto"/>
                <w:sz w:val="21"/>
                <w:szCs w:val="21"/>
                <w:lang w:val="en-US" w:eastAsia="zh-CN"/>
              </w:rPr>
              <w:t>采购人</w:t>
            </w:r>
            <w:r>
              <w:rPr>
                <w:rFonts w:hint="eastAsia" w:ascii="宋体" w:hAnsi="宋体" w:eastAsia="宋体" w:cs="宋体"/>
                <w:color w:val="auto"/>
                <w:sz w:val="21"/>
                <w:szCs w:val="21"/>
                <w:lang w:eastAsia="zh-Hans"/>
              </w:rPr>
              <w:t>提出的服务要求，并及时响应服务要求。</w:t>
            </w:r>
          </w:p>
          <w:p w14:paraId="2201970C">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hint="eastAsia" w:ascii="宋体" w:hAnsi="宋体" w:eastAsia="宋体" w:cs="宋体"/>
                <w:color w:val="auto"/>
                <w:sz w:val="21"/>
                <w:szCs w:val="21"/>
                <w:lang w:eastAsia="zh-Hans"/>
              </w:rPr>
            </w:pPr>
            <w:r>
              <w:rPr>
                <w:rFonts w:hint="eastAsia" w:ascii="宋体" w:hAnsi="宋体" w:cs="宋体"/>
                <w:color w:val="auto"/>
                <w:sz w:val="21"/>
                <w:szCs w:val="21"/>
                <w:lang w:eastAsia="zh-CN"/>
              </w:rPr>
              <w:t>成交</w:t>
            </w:r>
            <w:r>
              <w:rPr>
                <w:rFonts w:hint="eastAsia" w:ascii="宋体" w:hAnsi="宋体" w:eastAsia="宋体" w:cs="宋体"/>
                <w:color w:val="auto"/>
                <w:sz w:val="21"/>
                <w:szCs w:val="21"/>
                <w:lang w:eastAsia="zh-Hans"/>
              </w:rPr>
              <w:t>人提供7×24小时响应服务，</w:t>
            </w:r>
            <w:r>
              <w:rPr>
                <w:rFonts w:hint="eastAsia" w:ascii="宋体" w:hAnsi="宋体" w:cs="宋体"/>
                <w:color w:val="auto"/>
                <w:sz w:val="21"/>
                <w:szCs w:val="21"/>
                <w:lang w:val="en-US" w:eastAsia="zh-CN"/>
              </w:rPr>
              <w:t>采购人</w:t>
            </w:r>
            <w:r>
              <w:rPr>
                <w:rFonts w:hint="eastAsia" w:ascii="宋体" w:hAnsi="宋体" w:eastAsia="宋体" w:cs="宋体"/>
                <w:color w:val="auto"/>
                <w:sz w:val="21"/>
                <w:szCs w:val="21"/>
                <w:lang w:eastAsia="zh-Hans"/>
              </w:rPr>
              <w:t>可通过不同方式，如电话、传真、邮件、来访等，向供应商提出实时服务申报。</w:t>
            </w:r>
          </w:p>
          <w:p w14:paraId="7A81C442">
            <w:pPr>
              <w:keepNext w:val="0"/>
              <w:keepLines w:val="0"/>
              <w:pageBreakBefore w:val="0"/>
              <w:widowControl w:val="0"/>
              <w:kinsoku/>
              <w:wordWrap/>
              <w:overflowPunct/>
              <w:topLinePunct w:val="0"/>
              <w:autoSpaceDE/>
              <w:autoSpaceDN/>
              <w:bidi w:val="0"/>
              <w:spacing w:line="400" w:lineRule="exact"/>
              <w:ind w:firstLine="420" w:firstLineChars="200"/>
              <w:jc w:val="both"/>
              <w:textAlignment w:val="auto"/>
              <w:rPr>
                <w:rFonts w:ascii="宋体" w:hAnsi="宋体" w:cs="宋体"/>
                <w:color w:val="auto"/>
                <w:sz w:val="21"/>
                <w:szCs w:val="21"/>
                <w:highlight w:val="none"/>
              </w:rPr>
            </w:pPr>
            <w:r>
              <w:rPr>
                <w:rFonts w:hint="eastAsia" w:ascii="宋体" w:hAnsi="宋体" w:cs="宋体"/>
                <w:color w:val="auto"/>
                <w:sz w:val="21"/>
                <w:szCs w:val="21"/>
                <w:lang w:eastAsia="zh-CN"/>
              </w:rPr>
              <w:t>成交</w:t>
            </w:r>
            <w:r>
              <w:rPr>
                <w:rFonts w:hint="eastAsia" w:ascii="宋体" w:hAnsi="宋体" w:eastAsia="宋体" w:cs="宋体"/>
                <w:color w:val="auto"/>
                <w:sz w:val="21"/>
                <w:szCs w:val="21"/>
                <w:lang w:eastAsia="zh-Hans"/>
              </w:rPr>
              <w:t>人提供长期的技术咨询和政策支撑服务，可指派技术骨干和服务人员定期上门进行相关技术问题的咨询、解答以及意见的收集反馈</w:t>
            </w:r>
            <w:r>
              <w:rPr>
                <w:rFonts w:hint="eastAsia" w:ascii="宋体" w:hAnsi="宋体" w:eastAsia="宋体" w:cs="宋体"/>
                <w:color w:val="auto"/>
                <w:sz w:val="21"/>
                <w:szCs w:val="21"/>
                <w:lang w:eastAsia="zh-CN"/>
              </w:rPr>
              <w:t>。</w:t>
            </w:r>
          </w:p>
        </w:tc>
      </w:tr>
      <w:tr w14:paraId="1C38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9912" w:type="dxa"/>
            <w:gridSpan w:val="2"/>
            <w:shd w:val="clear" w:color="auto" w:fill="auto"/>
            <w:vAlign w:val="center"/>
          </w:tcPr>
          <w:p w14:paraId="6EA58ABB">
            <w:pPr>
              <w:widowControl w:val="0"/>
              <w:spacing w:line="400" w:lineRule="exact"/>
              <w:ind w:firstLine="420" w:firstLineChars="200"/>
              <w:jc w:val="center"/>
              <w:rPr>
                <w:rFonts w:ascii="Calibri" w:hAnsi="Calibri"/>
                <w:b/>
                <w:bCs/>
                <w:color w:val="auto"/>
                <w:szCs w:val="21"/>
                <w:highlight w:val="none"/>
              </w:rPr>
            </w:pPr>
            <w:bookmarkStart w:id="38" w:name="_Toc509934978"/>
            <w:r>
              <w:rPr>
                <w:rFonts w:hint="eastAsia" w:ascii="宋体" w:hAnsi="宋体" w:cs="宋体"/>
                <w:bCs/>
                <w:color w:val="auto"/>
                <w:szCs w:val="21"/>
                <w:highlight w:val="none"/>
              </w:rPr>
              <w:t>▲</w:t>
            </w:r>
            <w:r>
              <w:rPr>
                <w:rFonts w:ascii="Calibri" w:hAnsi="Calibri"/>
                <w:b/>
                <w:bCs/>
                <w:color w:val="auto"/>
                <w:szCs w:val="21"/>
                <w:highlight w:val="none"/>
              </w:rPr>
              <w:t>商务要求</w:t>
            </w:r>
            <w:bookmarkEnd w:id="38"/>
          </w:p>
        </w:tc>
      </w:tr>
      <w:tr w14:paraId="766F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1A770B8E">
            <w:pPr>
              <w:widowControl w:val="0"/>
              <w:snapToGrid w:val="0"/>
              <w:spacing w:line="400" w:lineRule="exact"/>
              <w:jc w:val="center"/>
              <w:rPr>
                <w:rFonts w:ascii="Calibri" w:hAnsi="Calibri"/>
                <w:b/>
                <w:color w:val="auto"/>
                <w:szCs w:val="21"/>
                <w:highlight w:val="none"/>
              </w:rPr>
            </w:pPr>
            <w:r>
              <w:rPr>
                <w:rFonts w:ascii="Calibri" w:hAnsi="Calibri"/>
                <w:b/>
                <w:color w:val="auto"/>
                <w:szCs w:val="21"/>
                <w:highlight w:val="none"/>
              </w:rPr>
              <w:t>项目服务地点及服务期</w:t>
            </w:r>
          </w:p>
        </w:tc>
        <w:tc>
          <w:tcPr>
            <w:tcW w:w="8181" w:type="dxa"/>
            <w:shd w:val="clear" w:color="auto" w:fill="auto"/>
            <w:vAlign w:val="center"/>
          </w:tcPr>
          <w:p w14:paraId="497CCFF4">
            <w:pPr>
              <w:widowControl w:val="0"/>
              <w:snapToGrid w:val="0"/>
              <w:spacing w:line="400" w:lineRule="exact"/>
              <w:jc w:val="both"/>
              <w:rPr>
                <w:rFonts w:ascii="Calibri" w:hAnsi="Calibri"/>
                <w:color w:val="auto"/>
                <w:szCs w:val="21"/>
                <w:highlight w:val="none"/>
              </w:rPr>
            </w:pPr>
            <w:r>
              <w:rPr>
                <w:rFonts w:ascii="Calibri" w:hAnsi="Calibri"/>
                <w:color w:val="auto"/>
                <w:szCs w:val="21"/>
                <w:highlight w:val="none"/>
              </w:rPr>
              <w:t>1</w:t>
            </w:r>
            <w:r>
              <w:rPr>
                <w:rFonts w:hint="eastAsia" w:ascii="Calibri" w:hAnsi="Calibri"/>
                <w:color w:val="auto"/>
                <w:szCs w:val="21"/>
                <w:highlight w:val="none"/>
              </w:rPr>
              <w:t>.</w:t>
            </w:r>
            <w:r>
              <w:rPr>
                <w:rFonts w:ascii="Calibri" w:hAnsi="Calibri"/>
                <w:color w:val="auto"/>
                <w:szCs w:val="21"/>
                <w:highlight w:val="none"/>
              </w:rPr>
              <w:t>服务地点：广西壮族自治区内采购人指定地点。</w:t>
            </w:r>
          </w:p>
          <w:p w14:paraId="43972AD4">
            <w:pPr>
              <w:widowControl w:val="0"/>
              <w:snapToGrid w:val="0"/>
              <w:spacing w:line="400" w:lineRule="exact"/>
              <w:ind w:left="105" w:hanging="105" w:hangingChars="50"/>
              <w:jc w:val="both"/>
              <w:rPr>
                <w:rFonts w:ascii="宋体" w:hAnsi="宋体" w:cs="宋体"/>
                <w:color w:val="auto"/>
                <w:szCs w:val="21"/>
                <w:highlight w:val="none"/>
              </w:rPr>
            </w:pPr>
            <w:r>
              <w:rPr>
                <w:rFonts w:hint="eastAsia" w:ascii="宋体" w:hAnsi="宋体"/>
                <w:color w:val="auto"/>
                <w:szCs w:val="21"/>
                <w:highlight w:val="none"/>
              </w:rPr>
              <w:t>2.服务期：</w:t>
            </w:r>
            <w:r>
              <w:rPr>
                <w:rFonts w:hint="eastAsia" w:ascii="宋体" w:hAnsi="宋体"/>
                <w:color w:val="auto"/>
                <w:szCs w:val="21"/>
                <w:highlight w:val="none"/>
                <w:lang w:eastAsia="zh-CN"/>
              </w:rPr>
              <w:t>合同签订后5个月内完成测试并出具相应的测试报告</w:t>
            </w:r>
            <w:r>
              <w:rPr>
                <w:rFonts w:hint="eastAsia" w:ascii="宋体" w:hAnsi="宋体"/>
                <w:color w:val="auto"/>
                <w:szCs w:val="21"/>
                <w:highlight w:val="none"/>
              </w:rPr>
              <w:t>。</w:t>
            </w:r>
          </w:p>
        </w:tc>
      </w:tr>
      <w:tr w14:paraId="6CD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55E8C9F2">
            <w:pPr>
              <w:widowControl w:val="0"/>
              <w:snapToGrid w:val="0"/>
              <w:spacing w:line="400" w:lineRule="exact"/>
              <w:jc w:val="center"/>
              <w:rPr>
                <w:rFonts w:ascii="Calibri" w:hAnsi="Calibri"/>
                <w:b/>
                <w:color w:val="auto"/>
                <w:szCs w:val="21"/>
                <w:highlight w:val="none"/>
              </w:rPr>
            </w:pPr>
            <w:r>
              <w:rPr>
                <w:rFonts w:ascii="Calibri" w:hAnsi="Calibri"/>
                <w:b/>
                <w:color w:val="auto"/>
                <w:szCs w:val="21"/>
                <w:highlight w:val="none"/>
              </w:rPr>
              <w:t>合同签订</w:t>
            </w:r>
            <w:r>
              <w:rPr>
                <w:rFonts w:hint="eastAsia" w:ascii="Calibri" w:hAnsi="Calibri"/>
                <w:b/>
                <w:color w:val="auto"/>
                <w:szCs w:val="21"/>
                <w:highlight w:val="none"/>
              </w:rPr>
              <w:t>期限</w:t>
            </w:r>
          </w:p>
        </w:tc>
        <w:tc>
          <w:tcPr>
            <w:tcW w:w="8181" w:type="dxa"/>
            <w:shd w:val="clear" w:color="auto" w:fill="auto"/>
            <w:vAlign w:val="center"/>
          </w:tcPr>
          <w:p w14:paraId="6891A305">
            <w:pPr>
              <w:widowControl w:val="0"/>
              <w:snapToGrid w:val="0"/>
              <w:spacing w:line="400" w:lineRule="exact"/>
              <w:jc w:val="both"/>
              <w:rPr>
                <w:rFonts w:ascii="Calibri" w:hAnsi="Calibri"/>
                <w:color w:val="auto"/>
                <w:szCs w:val="21"/>
                <w:highlight w:val="none"/>
              </w:rPr>
            </w:pPr>
            <w:r>
              <w:rPr>
                <w:rFonts w:hint="eastAsia"/>
                <w:color w:val="auto"/>
                <w:highlight w:val="none"/>
              </w:rPr>
              <w:t>自成交通知书发出之日起</w:t>
            </w:r>
            <w:r>
              <w:rPr>
                <w:rFonts w:hint="eastAsia"/>
                <w:color w:val="auto"/>
                <w:highlight w:val="none"/>
                <w:lang w:val="en-US" w:eastAsia="zh-CN"/>
              </w:rPr>
              <w:t>25</w:t>
            </w:r>
            <w:r>
              <w:rPr>
                <w:rFonts w:hint="eastAsia"/>
                <w:color w:val="auto"/>
                <w:highlight w:val="none"/>
              </w:rPr>
              <w:t>日内。</w:t>
            </w:r>
          </w:p>
        </w:tc>
      </w:tr>
      <w:tr w14:paraId="75C8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7F209BD">
            <w:pPr>
              <w:widowControl w:val="0"/>
              <w:snapToGrid w:val="0"/>
              <w:spacing w:line="400" w:lineRule="exact"/>
              <w:jc w:val="center"/>
              <w:rPr>
                <w:rFonts w:ascii="Calibri" w:hAnsi="Calibri"/>
                <w:b/>
                <w:color w:val="auto"/>
                <w:szCs w:val="21"/>
                <w:highlight w:val="none"/>
              </w:rPr>
            </w:pPr>
            <w:r>
              <w:rPr>
                <w:rFonts w:hint="eastAsia" w:ascii="Calibri" w:hAnsi="Calibri"/>
                <w:b/>
                <w:color w:val="auto"/>
                <w:szCs w:val="21"/>
                <w:highlight w:val="none"/>
              </w:rPr>
              <w:t>报价要求</w:t>
            </w:r>
          </w:p>
        </w:tc>
        <w:tc>
          <w:tcPr>
            <w:tcW w:w="8181" w:type="dxa"/>
            <w:shd w:val="clear" w:color="auto" w:fill="auto"/>
            <w:vAlign w:val="center"/>
          </w:tcPr>
          <w:p w14:paraId="4777DD47">
            <w:pPr>
              <w:spacing w:line="400" w:lineRule="exact"/>
              <w:rPr>
                <w:rFonts w:ascii="宋体" w:hAnsi="宋体" w:cs="宋体"/>
                <w:color w:val="auto"/>
                <w:szCs w:val="21"/>
                <w:highlight w:val="none"/>
              </w:rPr>
            </w:pPr>
            <w:r>
              <w:rPr>
                <w:rFonts w:hint="eastAsia" w:ascii="宋体" w:hAnsi="宋体" w:cs="宋体"/>
                <w:color w:val="auto"/>
                <w:szCs w:val="21"/>
                <w:highlight w:val="none"/>
              </w:rPr>
              <w:t>1.报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00654070">
            <w:pPr>
              <w:spacing w:line="400" w:lineRule="exact"/>
              <w:rPr>
                <w:rFonts w:ascii="宋体" w:hAnsi="宋体" w:cs="宋体"/>
                <w:color w:val="auto"/>
                <w:szCs w:val="21"/>
                <w:highlight w:val="none"/>
              </w:rPr>
            </w:pPr>
            <w:r>
              <w:rPr>
                <w:rFonts w:hint="eastAsia" w:ascii="宋体" w:hAnsi="宋体" w:cs="宋体"/>
                <w:color w:val="auto"/>
                <w:szCs w:val="21"/>
                <w:highlight w:val="none"/>
              </w:rPr>
              <w:t>（1）服务的价格；</w:t>
            </w:r>
          </w:p>
          <w:p w14:paraId="66994B32">
            <w:pPr>
              <w:spacing w:line="400" w:lineRule="exact"/>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4C1C74BA">
            <w:pPr>
              <w:spacing w:line="400" w:lineRule="exact"/>
              <w:rPr>
                <w:rFonts w:ascii="宋体" w:hAnsi="宋体" w:cs="宋体"/>
                <w:color w:val="auto"/>
                <w:szCs w:val="21"/>
                <w:highlight w:val="none"/>
              </w:rPr>
            </w:pPr>
            <w:r>
              <w:rPr>
                <w:rFonts w:hint="eastAsia" w:ascii="宋体" w:hAnsi="宋体" w:cs="宋体"/>
                <w:color w:val="auto"/>
                <w:szCs w:val="21"/>
                <w:highlight w:val="none"/>
              </w:rPr>
              <w:t>（3）项目验收的费用；</w:t>
            </w:r>
          </w:p>
          <w:p w14:paraId="1F3EF695">
            <w:pPr>
              <w:spacing w:line="400" w:lineRule="exact"/>
              <w:rPr>
                <w:rFonts w:ascii="Calibri" w:hAnsi="Calibri"/>
                <w:color w:val="auto"/>
                <w:highlight w:val="none"/>
              </w:rPr>
            </w:pPr>
            <w:r>
              <w:rPr>
                <w:rFonts w:hint="eastAsia" w:ascii="宋体" w:hAnsi="宋体" w:cs="宋体"/>
                <w:color w:val="auto"/>
                <w:szCs w:val="21"/>
                <w:highlight w:val="none"/>
              </w:rPr>
              <w:t>（4）提供技术支持</w:t>
            </w:r>
            <w:r>
              <w:rPr>
                <w:rFonts w:ascii="宋体" w:hAnsi="宋体" w:cs="宋体"/>
                <w:color w:val="auto"/>
                <w:szCs w:val="21"/>
                <w:highlight w:val="none"/>
              </w:rPr>
              <w:t>、培训</w:t>
            </w:r>
            <w:r>
              <w:rPr>
                <w:rFonts w:hint="eastAsia" w:ascii="宋体" w:hAnsi="宋体" w:cs="宋体"/>
                <w:color w:val="auto"/>
                <w:szCs w:val="21"/>
                <w:highlight w:val="none"/>
              </w:rPr>
              <w:t>、售后服务费用等费用。</w:t>
            </w:r>
          </w:p>
        </w:tc>
      </w:tr>
      <w:tr w14:paraId="3FCF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3BDBD0B8">
            <w:pPr>
              <w:widowControl w:val="0"/>
              <w:spacing w:line="400" w:lineRule="exact"/>
              <w:jc w:val="center"/>
              <w:rPr>
                <w:rFonts w:ascii="宋体" w:hAnsi="宋体"/>
                <w:color w:val="auto"/>
                <w:szCs w:val="21"/>
                <w:highlight w:val="none"/>
              </w:rPr>
            </w:pPr>
            <w:r>
              <w:rPr>
                <w:b/>
                <w:color w:val="auto"/>
                <w:szCs w:val="21"/>
                <w:highlight w:val="none"/>
              </w:rPr>
              <w:t>付款条件</w:t>
            </w:r>
          </w:p>
        </w:tc>
        <w:tc>
          <w:tcPr>
            <w:tcW w:w="8181" w:type="dxa"/>
            <w:shd w:val="clear" w:color="auto" w:fill="auto"/>
            <w:vAlign w:val="center"/>
          </w:tcPr>
          <w:p w14:paraId="15CB068B">
            <w:pPr>
              <w:spacing w:line="400" w:lineRule="exact"/>
              <w:rPr>
                <w:rFonts w:ascii="宋体" w:hAnsi="宋体"/>
                <w:color w:val="auto"/>
                <w:szCs w:val="21"/>
                <w:highlight w:val="none"/>
              </w:rPr>
            </w:pPr>
            <w:r>
              <w:rPr>
                <w:rFonts w:hint="eastAsia" w:ascii="宋体" w:hAnsi="宋体"/>
                <w:color w:val="auto"/>
                <w:szCs w:val="21"/>
                <w:highlight w:val="none"/>
              </w:rPr>
              <w:t>合同签订后，</w:t>
            </w:r>
            <w:r>
              <w:rPr>
                <w:rFonts w:hint="eastAsia" w:ascii="宋体" w:hAnsi="宋体"/>
                <w:color w:val="auto"/>
                <w:szCs w:val="21"/>
                <w:highlight w:val="none"/>
                <w:lang w:val="en-US" w:eastAsia="zh-CN"/>
              </w:rPr>
              <w:t>采购人</w:t>
            </w:r>
            <w:r>
              <w:rPr>
                <w:rFonts w:hint="eastAsia" w:ascii="宋体" w:hAnsi="宋体"/>
                <w:color w:val="auto"/>
                <w:szCs w:val="21"/>
                <w:highlight w:val="none"/>
              </w:rPr>
              <w:t>在</w:t>
            </w:r>
            <w:r>
              <w:rPr>
                <w:rFonts w:hint="eastAsia" w:ascii="宋体" w:hAnsi="宋体"/>
                <w:color w:val="auto"/>
                <w:szCs w:val="21"/>
                <w:highlight w:val="none"/>
                <w:lang w:val="en-US" w:eastAsia="zh-CN"/>
              </w:rPr>
              <w:t>15</w:t>
            </w:r>
            <w:r>
              <w:rPr>
                <w:rFonts w:hint="eastAsia" w:ascii="宋体" w:hAnsi="宋体"/>
                <w:color w:val="auto"/>
                <w:szCs w:val="21"/>
                <w:highlight w:val="none"/>
              </w:rPr>
              <w:t>个工作日内预付合同总价的50%款项给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r>
              <w:rPr>
                <w:rFonts w:hint="eastAsia" w:ascii="宋体" w:hAnsi="宋体"/>
                <w:color w:val="auto"/>
                <w:szCs w:val="21"/>
                <w:highlight w:val="none"/>
                <w:lang w:val="en-US" w:eastAsia="zh-CN"/>
              </w:rPr>
              <w:t>成交人</w:t>
            </w:r>
            <w:r>
              <w:rPr>
                <w:rFonts w:hint="eastAsia" w:ascii="宋体" w:hAnsi="宋体"/>
                <w:color w:val="auto"/>
                <w:szCs w:val="21"/>
                <w:highlight w:val="none"/>
              </w:rPr>
              <w:t>提供服务完毕且经验收合格后，</w:t>
            </w:r>
            <w:r>
              <w:rPr>
                <w:rFonts w:hint="eastAsia" w:ascii="宋体" w:hAnsi="宋体"/>
                <w:color w:val="auto"/>
                <w:szCs w:val="21"/>
                <w:highlight w:val="none"/>
                <w:lang w:val="en-US" w:eastAsia="zh-CN"/>
              </w:rPr>
              <w:t>采购人</w:t>
            </w:r>
            <w:r>
              <w:rPr>
                <w:rFonts w:hint="eastAsia" w:ascii="宋体" w:hAnsi="宋体"/>
                <w:color w:val="auto"/>
                <w:szCs w:val="21"/>
                <w:highlight w:val="none"/>
              </w:rPr>
              <w:t>在</w:t>
            </w:r>
            <w:r>
              <w:rPr>
                <w:rFonts w:hint="eastAsia" w:ascii="宋体" w:hAnsi="宋体"/>
                <w:color w:val="auto"/>
                <w:szCs w:val="21"/>
                <w:highlight w:val="none"/>
                <w:lang w:val="en-US" w:eastAsia="zh-CN"/>
              </w:rPr>
              <w:t>15</w:t>
            </w:r>
            <w:r>
              <w:rPr>
                <w:rFonts w:hint="eastAsia" w:ascii="宋体" w:hAnsi="宋体"/>
                <w:color w:val="auto"/>
                <w:szCs w:val="21"/>
                <w:highlight w:val="none"/>
              </w:rPr>
              <w:t>个工作日内支付合同剩余50%尾款给</w:t>
            </w:r>
            <w:r>
              <w:rPr>
                <w:rFonts w:hint="eastAsia" w:ascii="宋体" w:hAnsi="宋体"/>
                <w:color w:val="auto"/>
                <w:szCs w:val="21"/>
                <w:highlight w:val="none"/>
                <w:lang w:val="en-US" w:eastAsia="zh-CN"/>
              </w:rPr>
              <w:t>成交人</w:t>
            </w:r>
            <w:r>
              <w:rPr>
                <w:rFonts w:hint="eastAsia" w:ascii="宋体" w:hAnsi="宋体"/>
                <w:color w:val="auto"/>
                <w:szCs w:val="21"/>
                <w:highlight w:val="none"/>
              </w:rPr>
              <w:t>。</w:t>
            </w:r>
            <w:r>
              <w:rPr>
                <w:rFonts w:hint="eastAsia" w:ascii="宋体" w:hAnsi="宋体"/>
                <w:color w:val="auto"/>
                <w:szCs w:val="21"/>
                <w:highlight w:val="none"/>
                <w:lang w:val="en-US" w:eastAsia="zh-CN"/>
              </w:rPr>
              <w:t>成交人</w:t>
            </w:r>
            <w:r>
              <w:rPr>
                <w:rFonts w:hint="eastAsia" w:ascii="宋体" w:hAnsi="宋体"/>
                <w:color w:val="auto"/>
                <w:szCs w:val="21"/>
                <w:highlight w:val="none"/>
              </w:rPr>
              <w:t>每次收到款项之日起10个工作日内开具发票给</w:t>
            </w:r>
            <w:r>
              <w:rPr>
                <w:rFonts w:hint="eastAsia" w:ascii="宋体" w:hAnsi="宋体"/>
                <w:color w:val="auto"/>
                <w:szCs w:val="21"/>
                <w:highlight w:val="none"/>
                <w:lang w:val="en-US" w:eastAsia="zh-CN"/>
              </w:rPr>
              <w:t>采购人</w:t>
            </w:r>
            <w:r>
              <w:rPr>
                <w:rFonts w:hint="eastAsia" w:ascii="宋体" w:hAnsi="宋体"/>
                <w:color w:val="auto"/>
                <w:szCs w:val="21"/>
                <w:highlight w:val="none"/>
              </w:rPr>
              <w:t>。</w:t>
            </w:r>
          </w:p>
        </w:tc>
      </w:tr>
      <w:tr w14:paraId="32B7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1AF5B774">
            <w:pPr>
              <w:widowControl w:val="0"/>
              <w:spacing w:line="400" w:lineRule="exact"/>
              <w:jc w:val="center"/>
              <w:rPr>
                <w:b/>
                <w:color w:val="auto"/>
                <w:szCs w:val="21"/>
                <w:highlight w:val="none"/>
              </w:rPr>
            </w:pPr>
            <w:r>
              <w:rPr>
                <w:rFonts w:hint="eastAsia"/>
                <w:b/>
                <w:color w:val="auto"/>
                <w:szCs w:val="21"/>
                <w:highlight w:val="none"/>
              </w:rPr>
              <w:t>版权要求</w:t>
            </w:r>
          </w:p>
        </w:tc>
        <w:tc>
          <w:tcPr>
            <w:tcW w:w="8181" w:type="dxa"/>
            <w:shd w:val="clear" w:color="auto" w:fill="auto"/>
            <w:vAlign w:val="center"/>
          </w:tcPr>
          <w:p w14:paraId="352FB83C">
            <w:pPr>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1.本项目所涉及的所有工作成果的知识产权归采购人所有，未经采购人同意成交供应商不得将本项目的工作成果另做他用。</w:t>
            </w:r>
          </w:p>
          <w:p w14:paraId="65A80164">
            <w:pPr>
              <w:spacing w:line="400" w:lineRule="exact"/>
              <w:textAlignment w:val="center"/>
              <w:rPr>
                <w:rFonts w:ascii="宋体" w:hAnsi="宋体" w:cs="宋体"/>
                <w:color w:val="auto"/>
                <w:szCs w:val="21"/>
                <w:highlight w:val="none"/>
              </w:rPr>
            </w:pPr>
            <w:r>
              <w:rPr>
                <w:rFonts w:hint="eastAsia" w:ascii="宋体" w:hAnsi="宋体" w:cs="宋体"/>
                <w:color w:val="auto"/>
                <w:szCs w:val="21"/>
                <w:highlight w:val="none"/>
              </w:rPr>
              <w:t>2.成交供应商须保障采购人在使用该项目工作成果或其任何一部分时不受到第三方关于侵犯知识产权的指控。如果任何第三方提出侵权指控与采购人无关，成交供应商须与第三方交涉并承担可能发生的责任与一切费用。如采购人因此而遭致损失的，成交供应商应赔偿该损失。</w:t>
            </w:r>
          </w:p>
        </w:tc>
      </w:tr>
      <w:tr w14:paraId="7FCD4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731" w:type="dxa"/>
            <w:shd w:val="clear" w:color="auto" w:fill="auto"/>
            <w:vAlign w:val="center"/>
          </w:tcPr>
          <w:p w14:paraId="70CEB532">
            <w:pPr>
              <w:widowControl w:val="0"/>
              <w:spacing w:line="400" w:lineRule="exact"/>
              <w:jc w:val="center"/>
              <w:rPr>
                <w:rFonts w:ascii="宋体" w:hAnsi="宋体" w:cs="宋体"/>
                <w:color w:val="auto"/>
                <w:szCs w:val="21"/>
                <w:highlight w:val="none"/>
              </w:rPr>
            </w:pPr>
            <w:r>
              <w:rPr>
                <w:rFonts w:hint="eastAsia"/>
                <w:b/>
                <w:color w:val="auto"/>
                <w:szCs w:val="21"/>
                <w:highlight w:val="none"/>
              </w:rPr>
              <w:t>其他</w:t>
            </w:r>
          </w:p>
        </w:tc>
        <w:tc>
          <w:tcPr>
            <w:tcW w:w="8181" w:type="dxa"/>
            <w:shd w:val="clear" w:color="auto" w:fill="auto"/>
            <w:vAlign w:val="center"/>
          </w:tcPr>
          <w:p w14:paraId="101725D7">
            <w:pPr>
              <w:snapToGrid w:val="0"/>
              <w:spacing w:line="400" w:lineRule="exact"/>
              <w:rPr>
                <w:rFonts w:ascii="宋体" w:hAnsi="宋体" w:cs="宋体"/>
                <w:color w:val="auto"/>
                <w:szCs w:val="21"/>
                <w:highlight w:val="none"/>
              </w:rPr>
            </w:pPr>
            <w:r>
              <w:rPr>
                <w:rFonts w:hint="eastAsia" w:ascii="宋体" w:hAnsi="宋体" w:cs="宋体"/>
                <w:color w:val="auto"/>
                <w:szCs w:val="21"/>
                <w:highlight w:val="none"/>
              </w:rPr>
              <w:t>违约责任：</w:t>
            </w:r>
          </w:p>
          <w:p w14:paraId="27E7CDFF">
            <w:pPr>
              <w:snapToGrid w:val="0"/>
              <w:spacing w:line="400" w:lineRule="exact"/>
              <w:rPr>
                <w:rFonts w:ascii="宋体" w:hAnsi="宋体"/>
                <w:color w:val="auto"/>
                <w:szCs w:val="21"/>
                <w:highlight w:val="none"/>
              </w:rPr>
            </w:pPr>
            <w:r>
              <w:rPr>
                <w:rFonts w:hint="eastAsia" w:ascii="宋体" w:hAnsi="宋体"/>
                <w:color w:val="auto"/>
                <w:szCs w:val="21"/>
                <w:highlight w:val="none"/>
              </w:rPr>
              <w:t>1.因成交供应商的原因而造成采购合同无法按时签订，视为成交供应商违约，成交供应商违约对采购人造成的损失的，需另行支付相应的赔偿。</w:t>
            </w:r>
          </w:p>
          <w:p w14:paraId="2AA65825">
            <w:pPr>
              <w:snapToGrid w:val="0"/>
              <w:spacing w:line="400" w:lineRule="exact"/>
              <w:rPr>
                <w:rFonts w:ascii="宋体" w:hAnsi="宋体"/>
                <w:color w:val="auto"/>
                <w:szCs w:val="21"/>
                <w:highlight w:val="none"/>
              </w:rPr>
            </w:pPr>
            <w:r>
              <w:rPr>
                <w:rFonts w:hint="eastAsia" w:ascii="宋体" w:hAnsi="宋体"/>
                <w:color w:val="auto"/>
                <w:szCs w:val="21"/>
                <w:highlight w:val="none"/>
              </w:rPr>
              <w:t>2.在签订采购合同之后，成交供应商要求解除合同的，视为成交供应商违约，对采购人造成的损失的，成交供应商需支付相应的赔偿。</w:t>
            </w:r>
          </w:p>
          <w:p w14:paraId="2F8C0B35">
            <w:pPr>
              <w:snapToGrid w:val="0"/>
              <w:spacing w:line="400" w:lineRule="exact"/>
              <w:rPr>
                <w:rFonts w:ascii="宋体" w:hAnsi="宋体"/>
                <w:color w:val="auto"/>
                <w:szCs w:val="21"/>
                <w:highlight w:val="none"/>
              </w:rPr>
            </w:pPr>
            <w:r>
              <w:rPr>
                <w:rFonts w:hint="eastAsia" w:ascii="宋体" w:hAnsi="宋体"/>
                <w:color w:val="auto"/>
                <w:szCs w:val="21"/>
                <w:highlight w:val="none"/>
              </w:rPr>
              <w:t>3.因成交供应商的原因而发生重大质量事故，除依约承担赔偿责任外，还将按有关质量管理办法规定执行。同时，采购人有权保留更换成交供应商的权利，并报相关行政主管部门处罚。</w:t>
            </w:r>
          </w:p>
          <w:p w14:paraId="5920E4B0">
            <w:pPr>
              <w:snapToGrid w:val="0"/>
              <w:spacing w:line="400" w:lineRule="exact"/>
              <w:rPr>
                <w:rFonts w:ascii="宋体" w:hAnsi="宋体"/>
                <w:color w:val="auto"/>
                <w:szCs w:val="21"/>
                <w:highlight w:val="none"/>
              </w:rPr>
            </w:pPr>
            <w:r>
              <w:rPr>
                <w:rFonts w:hint="eastAsia" w:ascii="宋体" w:hAnsi="宋体"/>
                <w:color w:val="auto"/>
                <w:szCs w:val="21"/>
                <w:highlight w:val="none"/>
              </w:rPr>
              <w:t>4.若发生重大安全事故或特大安全事故，除按国家有关安全管理规定及采购人有关安全管理办法执行外，采购人有权终止合同，给采购人造成的损失，还应承担赔偿责任。</w:t>
            </w:r>
          </w:p>
          <w:p w14:paraId="1392E94A">
            <w:pPr>
              <w:spacing w:line="400" w:lineRule="exact"/>
              <w:textAlignment w:val="center"/>
              <w:rPr>
                <w:rFonts w:ascii="宋体" w:hAnsi="宋体" w:cs="宋体"/>
                <w:color w:val="auto"/>
                <w:szCs w:val="21"/>
                <w:highlight w:val="none"/>
              </w:rPr>
            </w:pPr>
            <w:r>
              <w:rPr>
                <w:rFonts w:hint="eastAsia" w:ascii="宋体" w:hAnsi="宋体"/>
                <w:color w:val="auto"/>
                <w:szCs w:val="21"/>
                <w:highlight w:val="none"/>
              </w:rPr>
              <w:t>（5）在明确违约责任后，成交供应商应在接到书面通知书起七天内支付违约金、赔偿金等。</w:t>
            </w:r>
          </w:p>
        </w:tc>
      </w:tr>
    </w:tbl>
    <w:p w14:paraId="5A691450">
      <w:pPr>
        <w:rPr>
          <w:rFonts w:ascii="宋体" w:hAnsi="宋体"/>
          <w:b/>
          <w:color w:val="auto"/>
          <w:sz w:val="32"/>
          <w:szCs w:val="32"/>
          <w:highlight w:val="none"/>
        </w:rPr>
      </w:pPr>
      <w:bookmarkStart w:id="39" w:name="_Toc22417"/>
      <w:r>
        <w:rPr>
          <w:rFonts w:hint="eastAsia" w:ascii="宋体" w:hAnsi="宋体"/>
          <w:b/>
          <w:color w:val="auto"/>
          <w:sz w:val="32"/>
          <w:szCs w:val="32"/>
          <w:highlight w:val="none"/>
        </w:rPr>
        <w:br w:type="page"/>
      </w:r>
    </w:p>
    <w:p w14:paraId="06B74779">
      <w:pPr>
        <w:spacing w:line="440" w:lineRule="exact"/>
        <w:jc w:val="center"/>
        <w:outlineLvl w:val="0"/>
        <w:rPr>
          <w:rFonts w:ascii="宋体" w:hAnsi="宋体"/>
          <w:b/>
          <w:color w:val="auto"/>
          <w:sz w:val="32"/>
          <w:szCs w:val="32"/>
          <w:highlight w:val="none"/>
        </w:rPr>
      </w:pPr>
      <w:r>
        <w:rPr>
          <w:rFonts w:hint="eastAsia" w:ascii="宋体" w:hAnsi="宋体"/>
          <w:b/>
          <w:color w:val="auto"/>
          <w:sz w:val="32"/>
          <w:szCs w:val="32"/>
          <w:highlight w:val="none"/>
        </w:rPr>
        <w:t>第四章 评定成交的标准</w:t>
      </w:r>
      <w:bookmarkEnd w:id="39"/>
    </w:p>
    <w:p w14:paraId="59103018">
      <w:pPr>
        <w:spacing w:line="440" w:lineRule="exact"/>
        <w:jc w:val="center"/>
        <w:rPr>
          <w:rFonts w:ascii="宋体" w:hAnsi="宋体"/>
          <w:b/>
          <w:color w:val="auto"/>
          <w:sz w:val="32"/>
          <w:szCs w:val="32"/>
          <w:highlight w:val="none"/>
        </w:rPr>
      </w:pPr>
    </w:p>
    <w:p w14:paraId="51113D41">
      <w:pPr>
        <w:spacing w:line="440" w:lineRule="exact"/>
        <w:jc w:val="center"/>
        <w:rPr>
          <w:rFonts w:ascii="宋体" w:hAnsi="宋体"/>
          <w:b/>
          <w:color w:val="auto"/>
          <w:sz w:val="32"/>
          <w:szCs w:val="32"/>
          <w:highlight w:val="none"/>
        </w:rPr>
      </w:pPr>
      <w:r>
        <w:rPr>
          <w:rFonts w:hint="eastAsia" w:ascii="宋体" w:hAnsi="宋体"/>
          <w:b/>
          <w:color w:val="auto"/>
          <w:sz w:val="32"/>
          <w:szCs w:val="32"/>
          <w:highlight w:val="none"/>
        </w:rPr>
        <w:t>评标原则</w:t>
      </w:r>
    </w:p>
    <w:p w14:paraId="723EEEB6">
      <w:pPr>
        <w:pStyle w:val="27"/>
        <w:spacing w:line="440" w:lineRule="exact"/>
        <w:ind w:firstLine="420" w:firstLineChars="200"/>
        <w:rPr>
          <w:rFonts w:hAnsi="宋体" w:cs="宋体"/>
          <w:bCs/>
          <w:color w:val="auto"/>
          <w:sz w:val="21"/>
          <w:highlight w:val="none"/>
        </w:rPr>
      </w:pPr>
    </w:p>
    <w:p w14:paraId="1E93D05D">
      <w:pPr>
        <w:pStyle w:val="27"/>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（一）评委构成：本招标采购项目的评委分别由依法组成的评审专家、采购单位代表共三人以上单数构成，其中专家人数不少于成员总数的三分之二。</w:t>
      </w:r>
    </w:p>
    <w:p w14:paraId="25E374E9">
      <w:pPr>
        <w:pStyle w:val="27"/>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（二）评标依据：评委将以竞争性磋商文件为评标依据，对供应商的竞标报价、竞标方案、信誉、业绩等方面内容按百分制打分。</w:t>
      </w:r>
    </w:p>
    <w:p w14:paraId="4A1B8C14">
      <w:pPr>
        <w:pStyle w:val="27"/>
        <w:spacing w:line="440" w:lineRule="exact"/>
        <w:ind w:firstLine="420" w:firstLineChars="200"/>
        <w:rPr>
          <w:rFonts w:hAnsi="宋体" w:cs="宋体"/>
          <w:bCs/>
          <w:color w:val="auto"/>
          <w:sz w:val="21"/>
          <w:highlight w:val="none"/>
        </w:rPr>
      </w:pPr>
      <w:r>
        <w:rPr>
          <w:rFonts w:hint="eastAsia" w:hAnsi="宋体" w:cs="宋体"/>
          <w:bCs/>
          <w:color w:val="auto"/>
          <w:sz w:val="21"/>
          <w:highlight w:val="none"/>
        </w:rPr>
        <w:t>（三）评标方式：以封闭方式进行。</w:t>
      </w:r>
      <w:bookmarkStart w:id="40" w:name="_Hlt512352344"/>
      <w:bookmarkEnd w:id="40"/>
    </w:p>
    <w:p w14:paraId="6B68E76E">
      <w:pPr>
        <w:pStyle w:val="27"/>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二、评定方法</w:t>
      </w:r>
    </w:p>
    <w:p w14:paraId="033E064C">
      <w:pPr>
        <w:pStyle w:val="27"/>
        <w:spacing w:line="440" w:lineRule="exact"/>
        <w:ind w:firstLine="422" w:firstLineChars="200"/>
        <w:rPr>
          <w:rFonts w:hAnsi="宋体" w:cs="宋体"/>
          <w:b/>
          <w:bCs/>
          <w:color w:val="auto"/>
          <w:sz w:val="21"/>
          <w:highlight w:val="none"/>
        </w:rPr>
      </w:pPr>
      <w:r>
        <w:rPr>
          <w:rFonts w:hint="eastAsia" w:hAnsi="宋体" w:cs="宋体"/>
          <w:b/>
          <w:bCs/>
          <w:color w:val="auto"/>
          <w:sz w:val="21"/>
          <w:highlight w:val="none"/>
        </w:rPr>
        <w:t>1、价格分………………………………………………………………………………………10分</w:t>
      </w:r>
    </w:p>
    <w:p w14:paraId="1564C56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1.评审价为供应商的最后报价进行政策性扣除后的价格，评审价只是作为评审时使用。最终成交供应商的成交金额等于最后报价（如有修正，以确认修正后的最后报价为准）。</w:t>
      </w:r>
    </w:p>
    <w:p w14:paraId="27433F50">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2.政策性扣除计算方法。</w:t>
      </w:r>
    </w:p>
    <w:p w14:paraId="4F47D538">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根据《政府采购促进中小企业发展管理办法》（财库〔2020〕46号）的规定、《广西壮族自治区财政厅关于持续优化政府采购营商环境推动高质量发展的通知》（桂财采〔2024〕55号）规定，对于经主管预算单位统筹后未预留份额专门面向中小企业采购的采购项目，以及预留份额项目中的非预留部分采购包，供应商在其响应文件中提供《中小企业声明函》，且其竞标全部服务均由小微企业提供的，对供应商的竞标报价给予10%的扣除，扣除后的价格为评审价，即评审价=竞标报价×（1-10%）。接受大中型企业与小微企业组成联合体或者允许大中型企业向一家或者多家小微企业分包的采购项目，联合协议或者分包意向协议约定小微企业的合同份额占到合同总金额30%以上的，采购人、采购代理机构应当对联合体或者大中型企业的报价给予 4% 的扣除，用扣除后的价格参加评审，扣除后的价格为评审价，即评审价=竞标报价×（1-4%）。</w:t>
      </w:r>
    </w:p>
    <w:p w14:paraId="64B8A159">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不重复享受政策。</w:t>
      </w:r>
    </w:p>
    <w:p w14:paraId="70DA0F8C">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按照《关于促进残疾人就业政府采购政策的通知》（财库〔2017〕141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521552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 xml:space="preserve">   除上述情况外，评审价＝最后报价。</w:t>
      </w:r>
    </w:p>
    <w:p w14:paraId="3A72522F">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3.除低于成本价又不能做出合理解释的投标报价被拒绝外，以进入比较与评价环节的最低的评审报价为基准价，其价格分为满分。</w:t>
      </w:r>
    </w:p>
    <w:p w14:paraId="39F162AD">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4.价格分计算公式：</w:t>
      </w:r>
    </w:p>
    <w:p w14:paraId="43C6934A">
      <w:pPr>
        <w:spacing w:line="440" w:lineRule="exact"/>
        <w:ind w:firstLine="420"/>
        <w:rPr>
          <w:rFonts w:ascii="宋体" w:hAnsi="宋体"/>
          <w:bCs/>
          <w:color w:val="auto"/>
          <w:kern w:val="0"/>
          <w:szCs w:val="21"/>
          <w:highlight w:val="none"/>
        </w:rPr>
      </w:pPr>
      <w:r>
        <w:rPr>
          <w:rFonts w:hint="eastAsia" w:ascii="宋体" w:hAnsi="宋体"/>
          <w:bCs/>
          <w:color w:val="auto"/>
          <w:kern w:val="0"/>
          <w:szCs w:val="21"/>
          <w:highlight w:val="none"/>
        </w:rPr>
        <w:t>价格分得分=（基准价/评审价）×10分</w:t>
      </w:r>
    </w:p>
    <w:p w14:paraId="64836768">
      <w:pPr>
        <w:spacing w:line="440" w:lineRule="exact"/>
        <w:ind w:firstLine="420"/>
        <w:rPr>
          <w:rFonts w:ascii="宋体" w:hAnsi="宋体"/>
          <w:bCs/>
          <w:color w:val="auto"/>
          <w:kern w:val="0"/>
          <w:szCs w:val="21"/>
          <w:highlight w:val="none"/>
        </w:rPr>
      </w:pPr>
      <w:r>
        <w:rPr>
          <w:rStyle w:val="169"/>
          <w:rFonts w:ascii="宋体" w:hAnsi="宋体"/>
          <w:bCs/>
          <w:color w:val="auto"/>
          <w:szCs w:val="21"/>
          <w:highlight w:val="none"/>
        </w:rPr>
        <w:t>备注: 磋商小组认为供应商的报价明显低于其他通过符合性审查供应商的报价，有可能影响</w:t>
      </w:r>
      <w:r>
        <w:rPr>
          <w:rStyle w:val="169"/>
          <w:rFonts w:hint="eastAsia" w:ascii="宋体" w:hAnsi="宋体"/>
          <w:bCs/>
          <w:color w:val="auto"/>
          <w:szCs w:val="21"/>
          <w:highlight w:val="none"/>
        </w:rPr>
        <w:t>服务</w:t>
      </w:r>
      <w:r>
        <w:rPr>
          <w:rStyle w:val="169"/>
          <w:rFonts w:ascii="宋体" w:hAnsi="宋体"/>
          <w:bCs/>
          <w:color w:val="auto"/>
          <w:szCs w:val="21"/>
          <w:highlight w:val="none"/>
        </w:rPr>
        <w:t>质量或者不能诚信履约的，应当要求其在评标现场合理的时间内提供书面说明，必要时提交相关证明材料；供应商不能证明其报价合理性的，磋商小组应当将其作为无效竞标处理。</w:t>
      </w:r>
    </w:p>
    <w:p w14:paraId="179F45DD">
      <w:pPr>
        <w:autoSpaceDE w:val="0"/>
        <w:autoSpaceDN w:val="0"/>
        <w:adjustRightInd w:val="0"/>
        <w:spacing w:before="30" w:line="360" w:lineRule="auto"/>
        <w:ind w:firstLine="422" w:firstLineChars="200"/>
        <w:rPr>
          <w:color w:val="auto"/>
          <w:szCs w:val="21"/>
          <w:highlight w:val="none"/>
        </w:rPr>
      </w:pPr>
      <w:r>
        <w:rPr>
          <w:rFonts w:hint="eastAsia"/>
          <w:b/>
          <w:color w:val="auto"/>
          <w:highlight w:val="none"/>
          <w:shd w:val="clear" w:color="auto" w:fill="FFFFFF"/>
        </w:rPr>
        <w:t>2、技术</w:t>
      </w:r>
      <w:r>
        <w:rPr>
          <w:rFonts w:hint="eastAsia" w:ascii="宋体" w:hAnsi="宋体"/>
          <w:b/>
          <w:bCs/>
          <w:color w:val="auto"/>
          <w:highlight w:val="none"/>
        </w:rPr>
        <w:t>分</w:t>
      </w:r>
      <w:r>
        <w:rPr>
          <w:rFonts w:hint="eastAsia" w:hAnsi="宋体" w:cs="宋体"/>
          <w:b/>
          <w:bCs/>
          <w:color w:val="auto"/>
          <w:highlight w:val="none"/>
        </w:rPr>
        <w:t>………………………………………………………………………………………</w:t>
      </w:r>
      <w:r>
        <w:rPr>
          <w:rFonts w:hint="eastAsia" w:hAnsi="宋体" w:cs="宋体"/>
          <w:b/>
          <w:bCs/>
          <w:color w:val="auto"/>
          <w:highlight w:val="none"/>
          <w:lang w:val="en-US" w:eastAsia="zh-CN"/>
        </w:rPr>
        <w:t>55</w:t>
      </w:r>
      <w:r>
        <w:rPr>
          <w:rFonts w:hint="eastAsia" w:hAnsi="宋体" w:cs="宋体"/>
          <w:b/>
          <w:bCs/>
          <w:color w:val="auto"/>
          <w:highlight w:val="none"/>
        </w:rPr>
        <w:t>分</w:t>
      </w:r>
      <w:r>
        <w:rPr>
          <w:color w:val="auto"/>
          <w:spacing w:val="-8"/>
          <w:highlight w:val="none"/>
        </w:rPr>
        <w:t xml:space="preserve">              </w:t>
      </w:r>
      <w:r>
        <w:rPr>
          <w:rFonts w:hint="eastAsia"/>
          <w:color w:val="auto"/>
          <w:szCs w:val="21"/>
          <w:highlight w:val="none"/>
        </w:rPr>
        <w:t xml:space="preserve">             </w:t>
      </w:r>
    </w:p>
    <w:p w14:paraId="6C6320B8">
      <w:pPr>
        <w:spacing w:line="360" w:lineRule="auto"/>
        <w:ind w:firstLine="329"/>
        <w:rPr>
          <w:b/>
          <w:bCs/>
          <w:color w:val="auto"/>
          <w:szCs w:val="21"/>
        </w:rPr>
      </w:pPr>
      <w:r>
        <w:rPr>
          <w:rFonts w:hint="eastAsia"/>
          <w:b/>
          <w:bCs/>
          <w:color w:val="auto"/>
          <w:szCs w:val="21"/>
        </w:rPr>
        <w:t>（1）</w:t>
      </w:r>
      <w:r>
        <w:rPr>
          <w:rFonts w:hint="eastAsia"/>
          <w:b/>
          <w:bCs/>
          <w:color w:val="auto"/>
          <w:szCs w:val="21"/>
          <w:lang w:val="en-US" w:eastAsia="zh-CN"/>
        </w:rPr>
        <w:t>实施方案</w:t>
      </w:r>
      <w:r>
        <w:rPr>
          <w:rFonts w:hint="eastAsia"/>
          <w:b/>
          <w:bCs/>
          <w:color w:val="auto"/>
          <w:szCs w:val="21"/>
        </w:rPr>
        <w:t>(满分</w:t>
      </w:r>
      <w:r>
        <w:rPr>
          <w:rFonts w:hint="eastAsia"/>
          <w:b/>
          <w:bCs/>
          <w:color w:val="auto"/>
          <w:szCs w:val="21"/>
          <w:lang w:val="en-US" w:eastAsia="zh-CN"/>
        </w:rPr>
        <w:t>20</w:t>
      </w:r>
      <w:r>
        <w:rPr>
          <w:rFonts w:hint="eastAsia"/>
          <w:b/>
          <w:bCs/>
          <w:color w:val="auto"/>
          <w:szCs w:val="21"/>
        </w:rPr>
        <w:t>分)</w:t>
      </w:r>
    </w:p>
    <w:p w14:paraId="06440C58">
      <w:pPr>
        <w:spacing w:line="360" w:lineRule="auto"/>
        <w:ind w:firstLine="329"/>
        <w:rPr>
          <w:color w:val="auto"/>
          <w:szCs w:val="21"/>
        </w:rPr>
      </w:pPr>
      <w:r>
        <w:rPr>
          <w:rFonts w:hint="eastAsia"/>
          <w:color w:val="auto"/>
          <w:szCs w:val="21"/>
        </w:rPr>
        <w:t>根据供应商的响应文件中所提供的</w:t>
      </w:r>
      <w:r>
        <w:rPr>
          <w:rFonts w:hint="eastAsia"/>
          <w:color w:val="auto"/>
          <w:szCs w:val="21"/>
          <w:lang w:val="en-US" w:eastAsia="zh-CN"/>
        </w:rPr>
        <w:t>实施方案</w:t>
      </w:r>
      <w:r>
        <w:rPr>
          <w:rFonts w:hint="eastAsia"/>
          <w:color w:val="auto"/>
          <w:szCs w:val="21"/>
        </w:rPr>
        <w:t>进行评价，未提供或不符合本项目要求不得分：</w:t>
      </w:r>
    </w:p>
    <w:p w14:paraId="5F794D4C">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分）：提供的</w:t>
      </w:r>
      <w:r>
        <w:rPr>
          <w:rFonts w:hint="eastAsia"/>
          <w:color w:val="auto"/>
          <w:szCs w:val="21"/>
          <w:lang w:val="en-US" w:eastAsia="zh-CN"/>
        </w:rPr>
        <w:t>实施方案</w:t>
      </w:r>
      <w:r>
        <w:rPr>
          <w:rFonts w:hint="eastAsia"/>
          <w:color w:val="auto"/>
          <w:szCs w:val="21"/>
        </w:rPr>
        <w:t>简单，对项目情况有基本的了解；</w:t>
      </w:r>
    </w:p>
    <w:p w14:paraId="66370D66">
      <w:pPr>
        <w:spacing w:line="360" w:lineRule="auto"/>
        <w:ind w:firstLine="329"/>
        <w:rPr>
          <w:color w:val="auto"/>
          <w:szCs w:val="21"/>
        </w:rPr>
      </w:pPr>
      <w:r>
        <w:rPr>
          <w:rFonts w:hint="eastAsia"/>
          <w:color w:val="auto"/>
          <w:szCs w:val="21"/>
        </w:rPr>
        <w:t>二档（1</w:t>
      </w:r>
      <w:r>
        <w:rPr>
          <w:rFonts w:hint="eastAsia"/>
          <w:color w:val="auto"/>
          <w:szCs w:val="21"/>
          <w:lang w:val="en-US" w:eastAsia="zh-CN"/>
        </w:rPr>
        <w:t>3</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优于一档，对项目情况了解，工作思路符合要求。 </w:t>
      </w:r>
    </w:p>
    <w:p w14:paraId="77E4F500">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分）：提供的</w:t>
      </w:r>
      <w:r>
        <w:rPr>
          <w:rFonts w:hint="eastAsia"/>
          <w:color w:val="auto"/>
          <w:szCs w:val="21"/>
          <w:lang w:val="en-US" w:eastAsia="zh-CN"/>
        </w:rPr>
        <w:t>实施方案</w:t>
      </w:r>
      <w:r>
        <w:rPr>
          <w:rFonts w:hint="eastAsia"/>
          <w:color w:val="auto"/>
          <w:szCs w:val="21"/>
        </w:rPr>
        <w:t xml:space="preserve">优于二档，对项目情况把握准确，工作思路及需求分析合理，对工作内容有详细的描述，可实施性强，方案详细具体。 </w:t>
      </w:r>
    </w:p>
    <w:p w14:paraId="356C3BE0">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rPr>
        <w:t>2</w:t>
      </w:r>
      <w:r>
        <w:rPr>
          <w:rFonts w:hint="eastAsia" w:ascii="宋体" w:hAnsi="宋体"/>
          <w:b/>
          <w:bCs/>
          <w:color w:val="auto"/>
          <w:szCs w:val="21"/>
        </w:rPr>
        <w:t>）质量控制方案（满分</w:t>
      </w:r>
      <w:r>
        <w:rPr>
          <w:rFonts w:hint="eastAsia" w:ascii="宋体" w:hAnsi="宋体"/>
          <w:b/>
          <w:bCs/>
          <w:color w:val="auto"/>
          <w:szCs w:val="21"/>
          <w:lang w:val="en-US" w:eastAsia="zh-CN"/>
        </w:rPr>
        <w:t>20</w:t>
      </w:r>
      <w:r>
        <w:rPr>
          <w:rFonts w:hint="eastAsia" w:ascii="宋体" w:hAnsi="宋体"/>
          <w:b/>
          <w:bCs/>
          <w:color w:val="auto"/>
          <w:szCs w:val="21"/>
        </w:rPr>
        <w:t>分）</w:t>
      </w:r>
    </w:p>
    <w:p w14:paraId="38E25CD8">
      <w:pPr>
        <w:spacing w:line="360" w:lineRule="auto"/>
        <w:ind w:firstLine="329"/>
        <w:rPr>
          <w:color w:val="auto"/>
          <w:szCs w:val="21"/>
        </w:rPr>
      </w:pPr>
      <w:r>
        <w:rPr>
          <w:rFonts w:hint="eastAsia"/>
          <w:color w:val="auto"/>
          <w:szCs w:val="21"/>
        </w:rPr>
        <w:t>根据供应商所提供的响应文件中的质量控制方案内容（包括：质量标准、组织架构资源、流程管控、输入输出管控）进行评价，未提供或不符合本项目要求不得分：</w:t>
      </w:r>
    </w:p>
    <w:p w14:paraId="3B0DFFCF">
      <w:pPr>
        <w:spacing w:line="360" w:lineRule="auto"/>
        <w:ind w:firstLine="329"/>
        <w:rPr>
          <w:color w:val="auto"/>
          <w:szCs w:val="21"/>
        </w:rPr>
      </w:pPr>
      <w:r>
        <w:rPr>
          <w:rFonts w:hint="eastAsia"/>
          <w:color w:val="auto"/>
          <w:szCs w:val="21"/>
        </w:rPr>
        <w:t>一档（</w:t>
      </w:r>
      <w:r>
        <w:rPr>
          <w:rFonts w:hint="eastAsia"/>
          <w:color w:val="auto"/>
          <w:szCs w:val="21"/>
          <w:lang w:val="en-US" w:eastAsia="zh-CN"/>
        </w:rPr>
        <w:t>8</w:t>
      </w:r>
      <w:r>
        <w:rPr>
          <w:rFonts w:hint="eastAsia"/>
          <w:color w:val="auto"/>
          <w:szCs w:val="21"/>
        </w:rPr>
        <w:t>分）：提供了质量控制方案，且内容包含了质量标准、组织架构资源、流程管控、输入输出管控的。</w:t>
      </w:r>
    </w:p>
    <w:p w14:paraId="7B2FD36C">
      <w:pPr>
        <w:spacing w:line="360" w:lineRule="auto"/>
        <w:ind w:firstLine="329"/>
        <w:rPr>
          <w:color w:val="auto"/>
          <w:szCs w:val="21"/>
        </w:rPr>
      </w:pPr>
      <w:r>
        <w:rPr>
          <w:rFonts w:hint="eastAsia"/>
          <w:color w:val="auto"/>
          <w:szCs w:val="21"/>
        </w:rPr>
        <w:t>二档（1</w:t>
      </w:r>
      <w:r>
        <w:rPr>
          <w:rFonts w:hint="eastAsia"/>
          <w:color w:val="auto"/>
          <w:szCs w:val="21"/>
          <w:lang w:val="en-US" w:eastAsia="zh-CN"/>
        </w:rPr>
        <w:t>3</w:t>
      </w:r>
      <w:r>
        <w:rPr>
          <w:rFonts w:hint="eastAsia"/>
          <w:color w:val="auto"/>
          <w:szCs w:val="21"/>
        </w:rPr>
        <w:t>分）：在满足一档的基础上，提供的质量控制方案有符合项目要求的保密措施和合理可行的方法改进内容的。</w:t>
      </w:r>
    </w:p>
    <w:p w14:paraId="62104E52">
      <w:pPr>
        <w:spacing w:line="360" w:lineRule="auto"/>
        <w:ind w:firstLine="329"/>
        <w:rPr>
          <w:color w:val="auto"/>
          <w:szCs w:val="21"/>
        </w:rPr>
      </w:pPr>
      <w:r>
        <w:rPr>
          <w:rFonts w:hint="eastAsia"/>
          <w:color w:val="auto"/>
          <w:szCs w:val="21"/>
        </w:rPr>
        <w:t>三档（</w:t>
      </w:r>
      <w:r>
        <w:rPr>
          <w:rFonts w:hint="eastAsia"/>
          <w:color w:val="auto"/>
          <w:szCs w:val="21"/>
          <w:lang w:val="en-US" w:eastAsia="zh-CN"/>
        </w:rPr>
        <w:t>20</w:t>
      </w:r>
      <w:r>
        <w:rPr>
          <w:rFonts w:hint="eastAsia"/>
          <w:color w:val="auto"/>
          <w:szCs w:val="21"/>
        </w:rPr>
        <w:t>分）：在满足二档的基础上，能考虑到本项目的具体情况并采取针对性措施，具备完整的质量保证措施及组织与协调管理能力。</w:t>
      </w:r>
    </w:p>
    <w:p w14:paraId="3C56B79F">
      <w:pPr>
        <w:spacing w:line="360" w:lineRule="auto"/>
        <w:ind w:firstLine="420"/>
        <w:rPr>
          <w:rFonts w:eastAsia="Calibri" w:cs="Calibri"/>
          <w:color w:val="auto"/>
          <w:szCs w:val="21"/>
        </w:rPr>
      </w:pPr>
      <w:r>
        <w:rPr>
          <w:rFonts w:hint="eastAsia" w:ascii="宋体" w:hAnsi="宋体" w:cs="Calibri"/>
          <w:b/>
          <w:color w:val="auto"/>
          <w:szCs w:val="21"/>
        </w:rPr>
        <w:t>（</w:t>
      </w:r>
      <w:r>
        <w:rPr>
          <w:rFonts w:hint="eastAsia" w:ascii="宋体" w:hAnsi="宋体" w:cs="Calibri"/>
          <w:b/>
          <w:bCs/>
          <w:color w:val="auto"/>
          <w:szCs w:val="21"/>
          <w:lang w:val="en-US" w:eastAsia="zh-CN"/>
        </w:rPr>
        <w:t>3</w:t>
      </w:r>
      <w:r>
        <w:rPr>
          <w:rFonts w:hint="eastAsia" w:ascii="宋体" w:hAnsi="宋体"/>
          <w:b/>
          <w:bCs/>
          <w:color w:val="auto"/>
          <w:szCs w:val="21"/>
        </w:rPr>
        <w:t>）实时服务承诺（满分</w:t>
      </w:r>
      <w:r>
        <w:rPr>
          <w:rFonts w:hint="eastAsia" w:ascii="宋体" w:hAnsi="宋体"/>
          <w:b/>
          <w:bCs/>
          <w:color w:val="auto"/>
          <w:szCs w:val="21"/>
          <w:lang w:val="en-US" w:eastAsia="zh-CN"/>
        </w:rPr>
        <w:t>15</w:t>
      </w:r>
      <w:r>
        <w:rPr>
          <w:rFonts w:hint="eastAsia" w:ascii="宋体" w:hAnsi="宋体"/>
          <w:b/>
          <w:bCs/>
          <w:color w:val="auto"/>
          <w:szCs w:val="21"/>
        </w:rPr>
        <w:t>分）</w:t>
      </w:r>
    </w:p>
    <w:p w14:paraId="6C579498">
      <w:pPr>
        <w:spacing w:line="360" w:lineRule="auto"/>
        <w:ind w:firstLine="329"/>
        <w:rPr>
          <w:color w:val="auto"/>
          <w:szCs w:val="21"/>
        </w:rPr>
      </w:pPr>
      <w:r>
        <w:rPr>
          <w:rFonts w:hint="eastAsia"/>
          <w:color w:val="auto"/>
          <w:szCs w:val="21"/>
        </w:rPr>
        <w:t>根据供应商的响应文件中所提供的实时服务承诺进行评价，未提供或不符合本项目要求不得分：</w:t>
      </w:r>
    </w:p>
    <w:p w14:paraId="7A2D7BB2">
      <w:pPr>
        <w:spacing w:line="360" w:lineRule="auto"/>
        <w:ind w:firstLine="329"/>
        <w:rPr>
          <w:color w:val="auto"/>
          <w:szCs w:val="21"/>
        </w:rPr>
      </w:pPr>
      <w:r>
        <w:rPr>
          <w:rFonts w:hint="eastAsia"/>
          <w:color w:val="auto"/>
          <w:szCs w:val="21"/>
        </w:rPr>
        <w:t>一档（</w:t>
      </w:r>
      <w:r>
        <w:rPr>
          <w:rFonts w:hint="eastAsia"/>
          <w:color w:val="auto"/>
          <w:szCs w:val="21"/>
          <w:lang w:val="en-US" w:eastAsia="zh-CN"/>
        </w:rPr>
        <w:t>5</w:t>
      </w:r>
      <w:r>
        <w:rPr>
          <w:rFonts w:hint="eastAsia"/>
          <w:color w:val="auto"/>
          <w:szCs w:val="21"/>
        </w:rPr>
        <w:t>分）：基本满足采购文件要求，承诺提供7×24小时响应服务；</w:t>
      </w:r>
    </w:p>
    <w:p w14:paraId="2154C7FA">
      <w:pPr>
        <w:spacing w:line="360" w:lineRule="auto"/>
        <w:ind w:firstLine="329"/>
        <w:rPr>
          <w:color w:val="auto"/>
          <w:szCs w:val="21"/>
        </w:rPr>
      </w:pPr>
      <w:r>
        <w:rPr>
          <w:rFonts w:hint="eastAsia"/>
          <w:color w:val="auto"/>
          <w:szCs w:val="21"/>
        </w:rPr>
        <w:t>二档（</w:t>
      </w:r>
      <w:r>
        <w:rPr>
          <w:rFonts w:hint="eastAsia"/>
          <w:color w:val="auto"/>
          <w:szCs w:val="21"/>
          <w:lang w:val="en-US" w:eastAsia="zh-CN"/>
        </w:rPr>
        <w:t>10</w:t>
      </w:r>
      <w:r>
        <w:rPr>
          <w:rFonts w:hint="eastAsia"/>
          <w:color w:val="auto"/>
          <w:szCs w:val="21"/>
        </w:rPr>
        <w:t>分）：能满足采购文件要求，承诺提供7×24小时响应服务，承诺免费提供后续技术咨询培训服务。</w:t>
      </w:r>
    </w:p>
    <w:p w14:paraId="18835A19">
      <w:pPr>
        <w:spacing w:line="360" w:lineRule="auto"/>
        <w:ind w:firstLine="329"/>
        <w:rPr>
          <w:color w:val="auto"/>
          <w:szCs w:val="21"/>
        </w:rPr>
      </w:pPr>
      <w:r>
        <w:rPr>
          <w:rFonts w:hint="eastAsia"/>
          <w:color w:val="auto"/>
          <w:szCs w:val="21"/>
        </w:rPr>
        <w:t>三档（</w:t>
      </w:r>
      <w:r>
        <w:rPr>
          <w:rFonts w:hint="eastAsia"/>
          <w:color w:val="auto"/>
          <w:szCs w:val="21"/>
          <w:lang w:val="en-US" w:eastAsia="zh-CN"/>
        </w:rPr>
        <w:t>15</w:t>
      </w:r>
      <w:r>
        <w:rPr>
          <w:rFonts w:hint="eastAsia"/>
          <w:color w:val="auto"/>
          <w:szCs w:val="21"/>
        </w:rPr>
        <w:t>分）：能充分满足采购文件要求，承诺提供7×24小时响应服务，承诺免费提供后续技术咨询培训服务，承诺免费提供技术和政策支持。</w:t>
      </w:r>
    </w:p>
    <w:p w14:paraId="4768A28A">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3、人员配置分</w:t>
      </w:r>
      <w:r>
        <w:rPr>
          <w:rFonts w:hint="eastAsia" w:hAnsi="宋体" w:cs="宋体"/>
          <w:b/>
          <w:bCs/>
          <w:color w:val="auto"/>
          <w:highlight w:val="none"/>
        </w:rPr>
        <w:t>………………………………………………………………………………………18分</w:t>
      </w:r>
    </w:p>
    <w:p w14:paraId="0469F48B">
      <w:pPr>
        <w:spacing w:line="360" w:lineRule="auto"/>
        <w:ind w:firstLine="329"/>
        <w:rPr>
          <w:color w:val="auto"/>
          <w:szCs w:val="21"/>
        </w:rPr>
      </w:pPr>
      <w:r>
        <w:rPr>
          <w:rFonts w:hint="eastAsia"/>
          <w:color w:val="auto"/>
          <w:szCs w:val="21"/>
        </w:rPr>
        <w:t>根据供应商拟投入项目服务人员管理和技术能力情况进行评审：</w:t>
      </w:r>
    </w:p>
    <w:p w14:paraId="49C31F48">
      <w:pPr>
        <w:spacing w:line="360" w:lineRule="auto"/>
        <w:ind w:firstLine="329"/>
        <w:rPr>
          <w:color w:val="auto"/>
          <w:szCs w:val="21"/>
        </w:rPr>
      </w:pPr>
      <w:r>
        <w:rPr>
          <w:rFonts w:hint="eastAsia"/>
          <w:color w:val="auto"/>
          <w:szCs w:val="21"/>
        </w:rPr>
        <w:t>（1）项目团队服务人员不少于5人（含5人）的得5分，少于5人得2分，本小项满分5分。须提供人员稳定性承诺函（格式自拟，加盖公章）</w:t>
      </w:r>
    </w:p>
    <w:p w14:paraId="231A759C">
      <w:pPr>
        <w:spacing w:line="360" w:lineRule="auto"/>
        <w:ind w:firstLine="329"/>
        <w:rPr>
          <w:color w:val="auto"/>
          <w:szCs w:val="21"/>
        </w:rPr>
      </w:pPr>
      <w:r>
        <w:rPr>
          <w:rFonts w:hint="eastAsia"/>
          <w:color w:val="auto"/>
          <w:szCs w:val="21"/>
        </w:rPr>
        <w:t>（2）拟派项目负责人具有高级工程师职称证书（专业：无线电相关类）的得3分，不具备的不得分，本小项满分3分。</w:t>
      </w:r>
    </w:p>
    <w:p w14:paraId="63946AD8">
      <w:pPr>
        <w:spacing w:line="360" w:lineRule="auto"/>
        <w:ind w:firstLine="329"/>
        <w:rPr>
          <w:color w:val="auto"/>
          <w:szCs w:val="21"/>
        </w:rPr>
      </w:pPr>
      <w:r>
        <w:rPr>
          <w:rFonts w:hint="eastAsia"/>
          <w:color w:val="auto"/>
          <w:szCs w:val="21"/>
        </w:rPr>
        <w:t>（3）项目团队服务人员中（除项目负责人外）具有中级工程师及以上职称（专业：无线电相关类）的每个人员得2分，本小项最高得10分。</w:t>
      </w:r>
    </w:p>
    <w:p w14:paraId="39DD9C3D">
      <w:pPr>
        <w:spacing w:line="440" w:lineRule="exact"/>
        <w:ind w:firstLine="329"/>
        <w:rPr>
          <w:color w:val="auto"/>
          <w:szCs w:val="21"/>
        </w:rPr>
      </w:pPr>
      <w:r>
        <w:rPr>
          <w:rFonts w:hint="eastAsia"/>
          <w:color w:val="auto"/>
          <w:szCs w:val="21"/>
        </w:rPr>
        <w:t>注：在响应文件中提供有关证书（如有）以及供应商为以上人员缴纳的社保证明或劳动合同或其它证明为供应商正式员工的材料复印件，并加盖供应商公章方予计分。</w:t>
      </w:r>
    </w:p>
    <w:p w14:paraId="62372493">
      <w:pPr>
        <w:autoSpaceDE w:val="0"/>
        <w:autoSpaceDN w:val="0"/>
        <w:adjustRightInd w:val="0"/>
        <w:spacing w:before="30" w:line="360" w:lineRule="auto"/>
        <w:ind w:firstLine="422" w:firstLineChars="200"/>
        <w:rPr>
          <w:b/>
          <w:color w:val="auto"/>
          <w:highlight w:val="none"/>
          <w:shd w:val="clear" w:color="auto" w:fill="FFFFFF"/>
        </w:rPr>
      </w:pPr>
      <w:r>
        <w:rPr>
          <w:rFonts w:hint="eastAsia"/>
          <w:b/>
          <w:color w:val="auto"/>
          <w:highlight w:val="none"/>
          <w:shd w:val="clear" w:color="auto" w:fill="FFFFFF"/>
        </w:rPr>
        <w:t>4、商务分………………………………………………………………………………………</w:t>
      </w:r>
      <w:r>
        <w:rPr>
          <w:rFonts w:hint="eastAsia"/>
          <w:b/>
          <w:color w:val="auto"/>
          <w:highlight w:val="none"/>
          <w:shd w:val="clear" w:color="auto" w:fill="FFFFFF"/>
          <w:lang w:val="en-US" w:eastAsia="zh-CN"/>
        </w:rPr>
        <w:t>17</w:t>
      </w:r>
      <w:r>
        <w:rPr>
          <w:rFonts w:hint="eastAsia"/>
          <w:b/>
          <w:color w:val="auto"/>
          <w:highlight w:val="none"/>
          <w:shd w:val="clear" w:color="auto" w:fill="FFFFFF"/>
        </w:rPr>
        <w:t>分</w:t>
      </w:r>
    </w:p>
    <w:p w14:paraId="6EBDDD0A">
      <w:pPr>
        <w:spacing w:line="360" w:lineRule="auto"/>
        <w:ind w:firstLine="329"/>
        <w:rPr>
          <w:b/>
          <w:bCs/>
          <w:color w:val="auto"/>
          <w:szCs w:val="21"/>
        </w:rPr>
      </w:pPr>
      <w:r>
        <w:rPr>
          <w:rFonts w:hint="eastAsia"/>
          <w:b/>
          <w:bCs/>
          <w:color w:val="auto"/>
          <w:szCs w:val="21"/>
        </w:rPr>
        <w:t>（1）业绩（满分10分）</w:t>
      </w:r>
    </w:p>
    <w:p w14:paraId="68293A75">
      <w:pPr>
        <w:spacing w:line="360" w:lineRule="auto"/>
        <w:ind w:firstLine="329"/>
        <w:rPr>
          <w:color w:val="auto"/>
          <w:szCs w:val="21"/>
        </w:rPr>
      </w:pPr>
      <w:r>
        <w:rPr>
          <w:rFonts w:hint="eastAsia"/>
          <w:color w:val="auto"/>
          <w:szCs w:val="21"/>
        </w:rPr>
        <w:t>2022年1月1日至今承担过</w:t>
      </w:r>
      <w:r>
        <w:rPr>
          <w:rFonts w:hint="eastAsia"/>
          <w:color w:val="auto"/>
          <w:szCs w:val="21"/>
          <w:lang w:val="en-US" w:eastAsia="zh-CN"/>
        </w:rPr>
        <w:t>类似</w:t>
      </w:r>
      <w:r>
        <w:rPr>
          <w:rFonts w:hint="eastAsia"/>
          <w:color w:val="auto"/>
          <w:szCs w:val="21"/>
        </w:rPr>
        <w:t>超短波监测管理一体化平台互联互通测试项目</w:t>
      </w:r>
      <w:r>
        <w:rPr>
          <w:rFonts w:hint="eastAsia"/>
          <w:color w:val="auto"/>
          <w:szCs w:val="21"/>
          <w:lang w:val="en-US" w:eastAsia="zh-CN"/>
        </w:rPr>
        <w:t>或</w:t>
      </w:r>
      <w:r>
        <w:rPr>
          <w:rFonts w:hint="eastAsia"/>
          <w:color w:val="auto"/>
          <w:szCs w:val="21"/>
        </w:rPr>
        <w:t>基础平台集成符合性测试项目业绩的，每个得2分，此项满分10分，须提供中标/成交通知书或合同复印件等证明材料。</w:t>
      </w:r>
    </w:p>
    <w:p w14:paraId="340F6C12">
      <w:pPr>
        <w:spacing w:line="360" w:lineRule="auto"/>
        <w:ind w:firstLine="329"/>
        <w:rPr>
          <w:b/>
          <w:bCs/>
          <w:color w:val="auto"/>
          <w:szCs w:val="21"/>
        </w:rPr>
      </w:pPr>
      <w:r>
        <w:rPr>
          <w:rFonts w:hint="eastAsia"/>
          <w:b/>
          <w:bCs/>
          <w:color w:val="auto"/>
          <w:szCs w:val="21"/>
        </w:rPr>
        <w:t>（2）供应商实力（满分</w:t>
      </w:r>
      <w:r>
        <w:rPr>
          <w:rFonts w:hint="eastAsia"/>
          <w:b/>
          <w:bCs/>
          <w:color w:val="auto"/>
          <w:szCs w:val="21"/>
          <w:lang w:val="en-US" w:eastAsia="zh-CN"/>
        </w:rPr>
        <w:t>7</w:t>
      </w:r>
      <w:r>
        <w:rPr>
          <w:rFonts w:hint="eastAsia"/>
          <w:b/>
          <w:bCs/>
          <w:color w:val="auto"/>
          <w:szCs w:val="21"/>
        </w:rPr>
        <w:t>分）</w:t>
      </w:r>
    </w:p>
    <w:p w14:paraId="158B4E4F">
      <w:pPr>
        <w:spacing w:line="360" w:lineRule="auto"/>
        <w:ind w:firstLine="329"/>
        <w:rPr>
          <w:color w:val="auto"/>
          <w:szCs w:val="21"/>
        </w:rPr>
      </w:pPr>
      <w:r>
        <w:rPr>
          <w:rFonts w:hint="eastAsia"/>
          <w:color w:val="auto"/>
          <w:szCs w:val="21"/>
        </w:rPr>
        <w:t>1.供应商具有工业和信息化部重点实验室检测资质得</w:t>
      </w:r>
      <w:r>
        <w:rPr>
          <w:rFonts w:hint="eastAsia"/>
          <w:color w:val="auto"/>
          <w:szCs w:val="21"/>
          <w:lang w:val="en-US" w:eastAsia="zh-CN"/>
        </w:rPr>
        <w:t>1</w:t>
      </w:r>
      <w:r>
        <w:rPr>
          <w:rFonts w:hint="eastAsia"/>
          <w:color w:val="auto"/>
          <w:szCs w:val="21"/>
        </w:rPr>
        <w:t>分。</w:t>
      </w:r>
    </w:p>
    <w:p w14:paraId="36476CCB">
      <w:pPr>
        <w:spacing w:line="360" w:lineRule="auto"/>
        <w:ind w:firstLine="329"/>
        <w:rPr>
          <w:color w:val="auto"/>
          <w:szCs w:val="21"/>
        </w:rPr>
      </w:pPr>
      <w:r>
        <w:rPr>
          <w:rFonts w:hint="eastAsia"/>
          <w:color w:val="auto"/>
          <w:szCs w:val="21"/>
        </w:rPr>
        <w:t>2.供应商具有高新企业认证证书的得2分。</w:t>
      </w:r>
    </w:p>
    <w:p w14:paraId="11196974">
      <w:pPr>
        <w:spacing w:line="360" w:lineRule="auto"/>
        <w:ind w:firstLine="329"/>
        <w:rPr>
          <w:rFonts w:hint="eastAsia"/>
          <w:color w:val="auto"/>
          <w:szCs w:val="21"/>
        </w:rPr>
      </w:pPr>
      <w:r>
        <w:rPr>
          <w:rFonts w:hint="eastAsia"/>
          <w:color w:val="auto"/>
          <w:szCs w:val="21"/>
        </w:rPr>
        <w:t>3.供应商具有获得中国合格评定国家认可委员会（CNAS）认可并取得认证证书的得2分。</w:t>
      </w:r>
    </w:p>
    <w:p w14:paraId="4DF3008B">
      <w:pPr>
        <w:spacing w:line="360" w:lineRule="auto"/>
        <w:ind w:firstLine="329"/>
        <w:rPr>
          <w:rFonts w:hint="eastAsia" w:ascii="Times New Roman" w:hAnsi="Times New Roman"/>
          <w:color w:val="auto"/>
          <w:szCs w:val="21"/>
        </w:rPr>
      </w:pPr>
      <w:r>
        <w:rPr>
          <w:rFonts w:hint="eastAsia"/>
          <w:color w:val="auto"/>
          <w:szCs w:val="21"/>
          <w:lang w:val="en-US" w:eastAsia="zh-CN"/>
        </w:rPr>
        <w:t>4.</w:t>
      </w:r>
      <w:r>
        <w:rPr>
          <w:rFonts w:hint="eastAsia"/>
          <w:color w:val="auto"/>
          <w:szCs w:val="21"/>
        </w:rPr>
        <w:t>供应商具有获得</w:t>
      </w:r>
      <w:r>
        <w:rPr>
          <w:rFonts w:hint="eastAsia" w:ascii="Times New Roman" w:hAnsi="Times New Roman"/>
          <w:color w:val="auto"/>
          <w:szCs w:val="21"/>
        </w:rPr>
        <w:t>中国计量认证（</w:t>
      </w:r>
      <w:r>
        <w:rPr>
          <w:color w:val="auto"/>
          <w:szCs w:val="21"/>
        </w:rPr>
        <w:t>CMA</w:t>
      </w:r>
      <w:r>
        <w:rPr>
          <w:rFonts w:hint="eastAsia" w:ascii="Times New Roman" w:hAnsi="Times New Roman"/>
          <w:color w:val="auto"/>
          <w:szCs w:val="21"/>
        </w:rPr>
        <w:t>）认可</w:t>
      </w:r>
      <w:r>
        <w:rPr>
          <w:rFonts w:hint="eastAsia"/>
          <w:color w:val="auto"/>
          <w:szCs w:val="21"/>
          <w:lang w:val="en-US" w:eastAsia="zh-CN"/>
        </w:rPr>
        <w:t>并</w:t>
      </w:r>
      <w:r>
        <w:rPr>
          <w:rFonts w:hint="eastAsia" w:ascii="Times New Roman" w:hAnsi="Times New Roman"/>
          <w:color w:val="auto"/>
          <w:szCs w:val="21"/>
        </w:rPr>
        <w:t>取得认证证书</w:t>
      </w:r>
      <w:r>
        <w:rPr>
          <w:rFonts w:hint="eastAsia"/>
          <w:color w:val="auto"/>
          <w:szCs w:val="21"/>
        </w:rPr>
        <w:t>得2分。</w:t>
      </w:r>
    </w:p>
    <w:p w14:paraId="3DD79E3C">
      <w:pPr>
        <w:spacing w:line="360" w:lineRule="auto"/>
        <w:ind w:firstLine="329"/>
        <w:rPr>
          <w:color w:val="auto"/>
          <w:szCs w:val="21"/>
        </w:rPr>
      </w:pPr>
      <w:r>
        <w:rPr>
          <w:rFonts w:hint="eastAsia"/>
          <w:color w:val="auto"/>
          <w:szCs w:val="21"/>
        </w:rPr>
        <w:t xml:space="preserve">注：提供有效的证书复印件并加盖公章。 </w:t>
      </w:r>
    </w:p>
    <w:p w14:paraId="1DEA59DA">
      <w:pPr>
        <w:spacing w:line="360" w:lineRule="auto"/>
        <w:ind w:firstLine="329"/>
        <w:rPr>
          <w:color w:val="auto"/>
          <w:szCs w:val="21"/>
          <w:highlight w:val="none"/>
        </w:rPr>
      </w:pPr>
    </w:p>
    <w:p w14:paraId="5E645DC5">
      <w:pPr>
        <w:spacing w:line="360" w:lineRule="auto"/>
        <w:ind w:firstLine="329"/>
        <w:rPr>
          <w:color w:val="auto"/>
          <w:szCs w:val="21"/>
          <w:highlight w:val="none"/>
        </w:rPr>
      </w:pPr>
      <w:r>
        <w:rPr>
          <w:rFonts w:hint="eastAsia"/>
          <w:color w:val="auto"/>
          <w:szCs w:val="21"/>
          <w:highlight w:val="none"/>
        </w:rPr>
        <w:t>综合得分＝1+2+3+4</w:t>
      </w:r>
    </w:p>
    <w:p w14:paraId="144DE354">
      <w:pPr>
        <w:pStyle w:val="27"/>
        <w:spacing w:line="440" w:lineRule="exact"/>
        <w:ind w:firstLine="413" w:firstLineChars="196"/>
        <w:rPr>
          <w:b/>
          <w:color w:val="auto"/>
          <w:sz w:val="21"/>
          <w:highlight w:val="none"/>
        </w:rPr>
      </w:pPr>
      <w:r>
        <w:rPr>
          <w:rFonts w:hint="eastAsia"/>
          <w:b/>
          <w:color w:val="auto"/>
          <w:sz w:val="21"/>
          <w:highlight w:val="none"/>
        </w:rPr>
        <w:t>三、成交候选供应商推荐原则</w:t>
      </w:r>
    </w:p>
    <w:p w14:paraId="465B95C7">
      <w:pPr>
        <w:spacing w:line="440" w:lineRule="exact"/>
        <w:ind w:firstLine="420" w:firstLineChars="200"/>
        <w:rPr>
          <w:rFonts w:ascii="宋体" w:hAnsi="宋体" w:cs="宋体"/>
          <w:color w:val="auto"/>
          <w:szCs w:val="21"/>
          <w:highlight w:val="none"/>
        </w:rPr>
      </w:pPr>
      <w:r>
        <w:rPr>
          <w:rFonts w:hint="eastAsia"/>
          <w:color w:val="auto"/>
          <w:szCs w:val="21"/>
          <w:highlight w:val="none"/>
        </w:rPr>
        <w:t>磋商小组应当根据总得分评分情况，按照评审总得分由高到低顺序推荐</w:t>
      </w:r>
      <w:r>
        <w:rPr>
          <w:color w:val="auto"/>
          <w:szCs w:val="21"/>
          <w:highlight w:val="none"/>
        </w:rPr>
        <w:t>3</w:t>
      </w:r>
      <w:r>
        <w:rPr>
          <w:rFonts w:hint="eastAsia"/>
          <w:color w:val="auto"/>
          <w:szCs w:val="21"/>
          <w:highlight w:val="none"/>
        </w:rPr>
        <w:t>名成交候选供应商，并编写评审报告。总得分相同的，按照最终报价由低到高的顺序推荐。总得分且最终报价相同的，由磋商小组根据服务方案的优劣情况投票推荐。</w:t>
      </w:r>
    </w:p>
    <w:p w14:paraId="1F355589">
      <w:pPr>
        <w:spacing w:line="440" w:lineRule="exact"/>
        <w:jc w:val="center"/>
        <w:rPr>
          <w:rFonts w:ascii="宋体" w:hAnsi="宋体"/>
          <w:color w:val="auto"/>
          <w:szCs w:val="21"/>
          <w:highlight w:val="none"/>
        </w:rPr>
      </w:pPr>
    </w:p>
    <w:p w14:paraId="04EE9756">
      <w:pPr>
        <w:spacing w:line="440" w:lineRule="exact"/>
        <w:jc w:val="center"/>
        <w:rPr>
          <w:rFonts w:ascii="宋体" w:hAnsi="宋体"/>
          <w:color w:val="auto"/>
          <w:szCs w:val="21"/>
          <w:highlight w:val="none"/>
        </w:rPr>
      </w:pPr>
    </w:p>
    <w:p w14:paraId="6ABFC27F">
      <w:pPr>
        <w:spacing w:line="440" w:lineRule="exact"/>
        <w:ind w:firstLine="3150" w:firstLineChars="1500"/>
        <w:jc w:val="both"/>
        <w:outlineLvl w:val="0"/>
        <w:rPr>
          <w:rFonts w:ascii="宋体" w:hAnsi="宋体"/>
          <w:b/>
          <w:color w:val="auto"/>
          <w:sz w:val="32"/>
          <w:szCs w:val="32"/>
          <w:highlight w:val="none"/>
        </w:rPr>
      </w:pPr>
      <w:r>
        <w:rPr>
          <w:rFonts w:ascii="宋体" w:hAnsi="宋体"/>
          <w:color w:val="auto"/>
          <w:szCs w:val="21"/>
          <w:highlight w:val="none"/>
        </w:rPr>
        <w:br w:type="page"/>
      </w:r>
      <w:bookmarkStart w:id="41" w:name="_Toc24235"/>
      <w:r>
        <w:rPr>
          <w:rFonts w:hint="eastAsia" w:ascii="宋体" w:hAnsi="宋体"/>
          <w:b/>
          <w:color w:val="auto"/>
          <w:sz w:val="32"/>
          <w:szCs w:val="32"/>
          <w:highlight w:val="none"/>
        </w:rPr>
        <w:t>第五章 响应文件格式</w:t>
      </w:r>
      <w:bookmarkEnd w:id="41"/>
    </w:p>
    <w:p w14:paraId="6CED34AC">
      <w:pPr>
        <w:spacing w:line="240" w:lineRule="atLeast"/>
        <w:jc w:val="center"/>
        <w:rPr>
          <w:rFonts w:ascii="宋体" w:hAnsi="宋体"/>
          <w:b/>
          <w:color w:val="auto"/>
          <w:sz w:val="32"/>
          <w:szCs w:val="32"/>
          <w:highlight w:val="none"/>
        </w:rPr>
      </w:pPr>
    </w:p>
    <w:p w14:paraId="75C2BFE3">
      <w:pPr>
        <w:spacing w:line="240" w:lineRule="atLeast"/>
        <w:jc w:val="both"/>
        <w:rPr>
          <w:rFonts w:ascii="宋体" w:hAnsi="宋体"/>
          <w:b/>
          <w:color w:val="auto"/>
          <w:sz w:val="28"/>
          <w:szCs w:val="28"/>
          <w:highlight w:val="none"/>
        </w:rPr>
      </w:pPr>
      <w:r>
        <w:rPr>
          <w:rFonts w:hint="eastAsia" w:ascii="宋体" w:hAnsi="宋体"/>
          <w:b/>
          <w:color w:val="auto"/>
          <w:sz w:val="28"/>
          <w:szCs w:val="28"/>
          <w:highlight w:val="none"/>
        </w:rPr>
        <w:t>外封套密封格式：</w:t>
      </w:r>
    </w:p>
    <w:p w14:paraId="36720628">
      <w:pPr>
        <w:spacing w:line="240" w:lineRule="atLeast"/>
        <w:jc w:val="center"/>
        <w:rPr>
          <w:rFonts w:ascii="宋体" w:hAnsi="宋体"/>
          <w:b/>
          <w:color w:val="auto"/>
          <w:sz w:val="32"/>
          <w:szCs w:val="32"/>
          <w:highlight w:val="none"/>
        </w:rPr>
      </w:pPr>
    </w:p>
    <w:p w14:paraId="04BD173B">
      <w:pPr>
        <w:spacing w:line="240" w:lineRule="atLeast"/>
        <w:jc w:val="center"/>
        <w:rPr>
          <w:rFonts w:ascii="宋体" w:hAnsi="宋体"/>
          <w:b/>
          <w:color w:val="auto"/>
          <w:sz w:val="32"/>
          <w:szCs w:val="32"/>
          <w:highlight w:val="none"/>
        </w:rPr>
      </w:pPr>
    </w:p>
    <w:p w14:paraId="259717C7">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bookmarkStart w:id="42" w:name="_Hlt512352422"/>
      <w:bookmarkEnd w:id="42"/>
    </w:p>
    <w:p w14:paraId="1070880E">
      <w:pPr>
        <w:spacing w:line="360" w:lineRule="auto"/>
        <w:jc w:val="center"/>
        <w:rPr>
          <w:rFonts w:ascii="宋体" w:hAnsi="宋体"/>
          <w:color w:val="auto"/>
          <w:szCs w:val="21"/>
          <w:highlight w:val="none"/>
        </w:rPr>
      </w:pPr>
    </w:p>
    <w:p w14:paraId="4C6AC593">
      <w:pPr>
        <w:spacing w:line="360" w:lineRule="auto"/>
        <w:jc w:val="center"/>
        <w:rPr>
          <w:rFonts w:ascii="宋体" w:hAnsi="宋体"/>
          <w:color w:val="auto"/>
          <w:szCs w:val="21"/>
          <w:highlight w:val="none"/>
        </w:rPr>
      </w:pPr>
    </w:p>
    <w:p w14:paraId="64ACADA1">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1E483FAC">
      <w:pPr>
        <w:spacing w:line="360" w:lineRule="auto"/>
        <w:jc w:val="center"/>
        <w:rPr>
          <w:rFonts w:ascii="宋体" w:hAnsi="宋体"/>
          <w:color w:val="auto"/>
          <w:szCs w:val="21"/>
          <w:highlight w:val="none"/>
        </w:rPr>
      </w:pPr>
    </w:p>
    <w:p w14:paraId="41EF55EA">
      <w:pPr>
        <w:spacing w:line="360" w:lineRule="auto"/>
        <w:jc w:val="center"/>
        <w:rPr>
          <w:rFonts w:ascii="宋体" w:hAnsi="宋体"/>
          <w:color w:val="auto"/>
          <w:szCs w:val="21"/>
          <w:highlight w:val="none"/>
        </w:rPr>
      </w:pPr>
    </w:p>
    <w:p w14:paraId="22CF642C">
      <w:pPr>
        <w:spacing w:line="360" w:lineRule="auto"/>
        <w:jc w:val="center"/>
        <w:rPr>
          <w:rFonts w:ascii="宋体" w:hAnsi="宋体"/>
          <w:color w:val="auto"/>
          <w:szCs w:val="21"/>
          <w:highlight w:val="none"/>
        </w:rPr>
      </w:pPr>
    </w:p>
    <w:p w14:paraId="06773A50">
      <w:pPr>
        <w:spacing w:line="360" w:lineRule="auto"/>
        <w:jc w:val="center"/>
        <w:rPr>
          <w:rFonts w:ascii="宋体" w:hAnsi="宋体"/>
          <w:color w:val="auto"/>
          <w:szCs w:val="21"/>
          <w:highlight w:val="none"/>
        </w:rPr>
      </w:pPr>
    </w:p>
    <w:p w14:paraId="345E51E7">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155CA323">
      <w:pPr>
        <w:tabs>
          <w:tab w:val="left" w:pos="3240"/>
        </w:tabs>
        <w:spacing w:line="360" w:lineRule="auto"/>
        <w:ind w:firstLine="848" w:firstLineChars="265"/>
        <w:rPr>
          <w:rFonts w:ascii="宋体" w:hAnsi="宋体"/>
          <w:color w:val="auto"/>
          <w:sz w:val="32"/>
          <w:szCs w:val="32"/>
          <w:highlight w:val="none"/>
        </w:rPr>
      </w:pPr>
    </w:p>
    <w:p w14:paraId="5CD5435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5526952">
      <w:pPr>
        <w:tabs>
          <w:tab w:val="left" w:pos="3240"/>
        </w:tabs>
        <w:spacing w:line="360" w:lineRule="auto"/>
        <w:ind w:firstLine="848" w:firstLineChars="265"/>
        <w:rPr>
          <w:rFonts w:ascii="宋体" w:hAnsi="宋体"/>
          <w:color w:val="auto"/>
          <w:sz w:val="32"/>
          <w:szCs w:val="32"/>
          <w:highlight w:val="none"/>
          <w:u w:val="single"/>
        </w:rPr>
      </w:pPr>
    </w:p>
    <w:p w14:paraId="599A1650">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7A4196D">
      <w:pPr>
        <w:tabs>
          <w:tab w:val="left" w:pos="3240"/>
        </w:tabs>
        <w:spacing w:line="360" w:lineRule="auto"/>
        <w:ind w:firstLine="848" w:firstLineChars="265"/>
        <w:rPr>
          <w:rFonts w:ascii="宋体" w:hAnsi="宋体"/>
          <w:color w:val="auto"/>
          <w:sz w:val="32"/>
          <w:szCs w:val="32"/>
          <w:highlight w:val="none"/>
        </w:rPr>
      </w:pPr>
    </w:p>
    <w:p w14:paraId="4071369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16A6A54C">
      <w:pPr>
        <w:spacing w:line="360" w:lineRule="auto"/>
        <w:ind w:firstLine="3408" w:firstLineChars="1065"/>
        <w:rPr>
          <w:rFonts w:ascii="宋体" w:hAnsi="宋体"/>
          <w:color w:val="auto"/>
          <w:sz w:val="32"/>
          <w:szCs w:val="32"/>
          <w:highlight w:val="none"/>
        </w:rPr>
      </w:pPr>
    </w:p>
    <w:p w14:paraId="77C6D700">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1B9330A2">
      <w:pPr>
        <w:spacing w:line="360" w:lineRule="auto"/>
        <w:rPr>
          <w:rFonts w:ascii="宋体" w:hAnsi="宋体"/>
          <w:color w:val="auto"/>
          <w:szCs w:val="21"/>
          <w:highlight w:val="none"/>
          <w:u w:val="single"/>
        </w:rPr>
      </w:pPr>
    </w:p>
    <w:p w14:paraId="4D44ACDB">
      <w:pPr>
        <w:spacing w:line="240" w:lineRule="atLeast"/>
        <w:jc w:val="both"/>
        <w:rPr>
          <w:rFonts w:ascii="宋体" w:hAnsi="宋体"/>
          <w:b/>
          <w:color w:val="auto"/>
          <w:sz w:val="32"/>
          <w:szCs w:val="32"/>
          <w:highlight w:val="none"/>
        </w:rPr>
      </w:pPr>
      <w:r>
        <w:rPr>
          <w:rFonts w:ascii="宋体" w:hAnsi="宋体"/>
          <w:color w:val="auto"/>
          <w:szCs w:val="21"/>
          <w:highlight w:val="none"/>
        </w:rPr>
        <w:br w:type="page"/>
      </w:r>
      <w:r>
        <w:rPr>
          <w:rFonts w:hint="eastAsia" w:ascii="宋体" w:hAnsi="宋体"/>
          <w:b/>
          <w:color w:val="auto"/>
          <w:sz w:val="28"/>
          <w:szCs w:val="28"/>
          <w:highlight w:val="none"/>
        </w:rPr>
        <w:t>报价文件/技术文件/商务文件封面格式：</w:t>
      </w:r>
    </w:p>
    <w:p w14:paraId="3A5503EF">
      <w:pPr>
        <w:spacing w:line="240" w:lineRule="atLeast"/>
        <w:jc w:val="center"/>
        <w:rPr>
          <w:rFonts w:ascii="宋体" w:hAnsi="宋体"/>
          <w:b/>
          <w:color w:val="auto"/>
          <w:sz w:val="32"/>
          <w:szCs w:val="32"/>
          <w:highlight w:val="none"/>
        </w:rPr>
      </w:pPr>
    </w:p>
    <w:p w14:paraId="43A89B73">
      <w:pPr>
        <w:spacing w:line="240" w:lineRule="atLeast"/>
        <w:jc w:val="center"/>
        <w:rPr>
          <w:rFonts w:ascii="宋体" w:hAnsi="宋体"/>
          <w:b/>
          <w:color w:val="auto"/>
          <w:sz w:val="32"/>
          <w:szCs w:val="32"/>
          <w:highlight w:val="none"/>
        </w:rPr>
      </w:pPr>
    </w:p>
    <w:p w14:paraId="36D6DDFE">
      <w:pPr>
        <w:spacing w:line="240" w:lineRule="atLeast"/>
        <w:jc w:val="center"/>
        <w:rPr>
          <w:rFonts w:ascii="宋体" w:hAnsi="宋体"/>
          <w:b/>
          <w:color w:val="auto"/>
          <w:sz w:val="72"/>
          <w:szCs w:val="72"/>
          <w:highlight w:val="none"/>
        </w:rPr>
      </w:pPr>
      <w:r>
        <w:rPr>
          <w:rFonts w:hint="eastAsia" w:ascii="宋体" w:hAnsi="宋体"/>
          <w:b/>
          <w:color w:val="auto"/>
          <w:sz w:val="72"/>
          <w:szCs w:val="72"/>
          <w:highlight w:val="none"/>
        </w:rPr>
        <w:t xml:space="preserve">响 应 文 件 </w:t>
      </w:r>
    </w:p>
    <w:p w14:paraId="5C514754">
      <w:pPr>
        <w:spacing w:line="360" w:lineRule="auto"/>
        <w:jc w:val="center"/>
        <w:rPr>
          <w:rFonts w:ascii="宋体" w:hAnsi="宋体"/>
          <w:b/>
          <w:color w:val="auto"/>
          <w:sz w:val="28"/>
          <w:szCs w:val="28"/>
          <w:highlight w:val="none"/>
        </w:rPr>
      </w:pPr>
    </w:p>
    <w:p w14:paraId="6F448829">
      <w:pPr>
        <w:spacing w:line="360" w:lineRule="auto"/>
        <w:jc w:val="center"/>
        <w:rPr>
          <w:rFonts w:ascii="宋体" w:hAnsi="宋体"/>
          <w:b/>
          <w:color w:val="auto"/>
          <w:sz w:val="30"/>
          <w:szCs w:val="30"/>
          <w:highlight w:val="none"/>
        </w:rPr>
      </w:pPr>
      <w:r>
        <w:rPr>
          <w:rFonts w:hint="eastAsia" w:ascii="宋体" w:hAnsi="宋体"/>
          <w:b/>
          <w:color w:val="auto"/>
          <w:sz w:val="30"/>
          <w:szCs w:val="30"/>
          <w:highlight w:val="none"/>
        </w:rPr>
        <w:t>文件内容：</w:t>
      </w:r>
      <w:r>
        <w:rPr>
          <w:rFonts w:hint="eastAsia" w:ascii="宋体" w:hAnsi="宋体"/>
          <w:b/>
          <w:color w:val="auto"/>
          <w:sz w:val="30"/>
          <w:szCs w:val="30"/>
          <w:highlight w:val="none"/>
          <w:u w:val="single"/>
        </w:rPr>
        <w:t>报价文件或技术文件或商务文件</w:t>
      </w:r>
      <w:r>
        <w:rPr>
          <w:rFonts w:hint="eastAsia" w:ascii="宋体" w:hAnsi="宋体"/>
          <w:b/>
          <w:color w:val="auto"/>
          <w:sz w:val="30"/>
          <w:szCs w:val="30"/>
          <w:highlight w:val="none"/>
        </w:rPr>
        <w:t xml:space="preserve">   </w:t>
      </w:r>
    </w:p>
    <w:p w14:paraId="766E5A34">
      <w:pPr>
        <w:spacing w:line="360" w:lineRule="auto"/>
        <w:jc w:val="center"/>
        <w:rPr>
          <w:rFonts w:ascii="宋体" w:hAnsi="宋体"/>
          <w:color w:val="auto"/>
          <w:szCs w:val="21"/>
          <w:highlight w:val="none"/>
        </w:rPr>
      </w:pPr>
    </w:p>
    <w:p w14:paraId="467920ED">
      <w:pPr>
        <w:spacing w:line="360" w:lineRule="auto"/>
        <w:jc w:val="center"/>
        <w:rPr>
          <w:rFonts w:ascii="宋体" w:hAnsi="宋体"/>
          <w:color w:val="auto"/>
          <w:sz w:val="36"/>
          <w:szCs w:val="36"/>
          <w:highlight w:val="none"/>
        </w:rPr>
      </w:pPr>
      <w:r>
        <w:rPr>
          <w:rFonts w:hint="eastAsia" w:ascii="宋体" w:hAnsi="宋体"/>
          <w:color w:val="auto"/>
          <w:sz w:val="36"/>
          <w:szCs w:val="36"/>
          <w:highlight w:val="none"/>
        </w:rPr>
        <w:t>（正/副本）</w:t>
      </w:r>
    </w:p>
    <w:p w14:paraId="37D542F6">
      <w:pPr>
        <w:spacing w:line="360" w:lineRule="auto"/>
        <w:jc w:val="center"/>
        <w:rPr>
          <w:rFonts w:ascii="宋体" w:hAnsi="宋体"/>
          <w:color w:val="auto"/>
          <w:szCs w:val="21"/>
          <w:highlight w:val="none"/>
        </w:rPr>
      </w:pPr>
    </w:p>
    <w:p w14:paraId="115CD1C3">
      <w:pPr>
        <w:spacing w:line="360" w:lineRule="auto"/>
        <w:jc w:val="center"/>
        <w:rPr>
          <w:rFonts w:ascii="宋体" w:hAnsi="宋体"/>
          <w:color w:val="auto"/>
          <w:szCs w:val="21"/>
          <w:highlight w:val="none"/>
        </w:rPr>
      </w:pPr>
    </w:p>
    <w:p w14:paraId="2CEDCB06">
      <w:pPr>
        <w:spacing w:line="360" w:lineRule="auto"/>
        <w:jc w:val="center"/>
        <w:rPr>
          <w:rFonts w:ascii="宋体" w:hAnsi="宋体"/>
          <w:color w:val="auto"/>
          <w:szCs w:val="21"/>
          <w:highlight w:val="none"/>
        </w:rPr>
      </w:pPr>
    </w:p>
    <w:p w14:paraId="7571EDED">
      <w:pPr>
        <w:spacing w:line="360" w:lineRule="auto"/>
        <w:jc w:val="center"/>
        <w:rPr>
          <w:rFonts w:ascii="宋体" w:hAnsi="宋体"/>
          <w:color w:val="auto"/>
          <w:szCs w:val="21"/>
          <w:highlight w:val="none"/>
        </w:rPr>
      </w:pPr>
    </w:p>
    <w:p w14:paraId="6A0FCEA5">
      <w:pPr>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采购项目编号：</w:t>
      </w:r>
      <w:r>
        <w:rPr>
          <w:rFonts w:hint="eastAsia" w:ascii="宋体" w:hAnsi="宋体"/>
          <w:color w:val="auto"/>
          <w:sz w:val="32"/>
          <w:szCs w:val="32"/>
          <w:highlight w:val="none"/>
          <w:u w:val="single"/>
        </w:rPr>
        <w:t xml:space="preserve">                       </w:t>
      </w:r>
    </w:p>
    <w:p w14:paraId="367B2B0B">
      <w:pPr>
        <w:tabs>
          <w:tab w:val="left" w:pos="3240"/>
        </w:tabs>
        <w:spacing w:line="360" w:lineRule="auto"/>
        <w:ind w:firstLine="848" w:firstLineChars="265"/>
        <w:rPr>
          <w:rFonts w:ascii="宋体" w:hAnsi="宋体"/>
          <w:color w:val="auto"/>
          <w:sz w:val="32"/>
          <w:szCs w:val="32"/>
          <w:highlight w:val="none"/>
        </w:rPr>
      </w:pPr>
    </w:p>
    <w:p w14:paraId="6A365DD8">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采购项目名称：</w:t>
      </w:r>
      <w:r>
        <w:rPr>
          <w:rFonts w:hint="eastAsia" w:ascii="宋体" w:hAnsi="宋体"/>
          <w:color w:val="auto"/>
          <w:sz w:val="32"/>
          <w:szCs w:val="32"/>
          <w:highlight w:val="none"/>
          <w:u w:val="single"/>
        </w:rPr>
        <w:t xml:space="preserve">                     </w:t>
      </w:r>
      <w:r>
        <w:rPr>
          <w:rFonts w:ascii="宋体" w:hAnsi="宋体"/>
          <w:color w:val="auto"/>
          <w:sz w:val="32"/>
          <w:szCs w:val="32"/>
          <w:highlight w:val="none"/>
          <w:u w:val="single"/>
        </w:rPr>
        <w:t xml:space="preserve"> </w:t>
      </w:r>
      <w:r>
        <w:rPr>
          <w:rFonts w:hint="eastAsia" w:ascii="宋体" w:hAnsi="宋体"/>
          <w:color w:val="auto"/>
          <w:sz w:val="32"/>
          <w:szCs w:val="32"/>
          <w:highlight w:val="none"/>
          <w:u w:val="single"/>
        </w:rPr>
        <w:t xml:space="preserve"> </w:t>
      </w:r>
    </w:p>
    <w:p w14:paraId="1F533EB2">
      <w:pPr>
        <w:tabs>
          <w:tab w:val="left" w:pos="3240"/>
        </w:tabs>
        <w:spacing w:line="360" w:lineRule="auto"/>
        <w:ind w:firstLine="848" w:firstLineChars="265"/>
        <w:rPr>
          <w:rFonts w:ascii="宋体" w:hAnsi="宋体"/>
          <w:color w:val="auto"/>
          <w:sz w:val="32"/>
          <w:szCs w:val="32"/>
          <w:highlight w:val="none"/>
          <w:u w:val="single"/>
        </w:rPr>
      </w:pPr>
    </w:p>
    <w:p w14:paraId="4BAD2E65">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标项名称：</w:t>
      </w:r>
      <w:r>
        <w:rPr>
          <w:rFonts w:hint="eastAsia" w:ascii="宋体" w:hAnsi="宋体"/>
          <w:color w:val="auto"/>
          <w:sz w:val="32"/>
          <w:szCs w:val="32"/>
          <w:highlight w:val="none"/>
          <w:u w:val="single"/>
        </w:rPr>
        <w:t xml:space="preserve">                         </w:t>
      </w:r>
    </w:p>
    <w:p w14:paraId="58D66B1D">
      <w:pPr>
        <w:tabs>
          <w:tab w:val="left" w:pos="3240"/>
        </w:tabs>
        <w:spacing w:line="360" w:lineRule="auto"/>
        <w:ind w:firstLine="848" w:firstLineChars="265"/>
        <w:rPr>
          <w:rFonts w:ascii="宋体" w:hAnsi="宋体"/>
          <w:color w:val="auto"/>
          <w:sz w:val="32"/>
          <w:szCs w:val="32"/>
          <w:highlight w:val="none"/>
        </w:rPr>
      </w:pPr>
    </w:p>
    <w:p w14:paraId="52A640CD">
      <w:pPr>
        <w:tabs>
          <w:tab w:val="left" w:pos="3240"/>
        </w:tabs>
        <w:spacing w:line="360" w:lineRule="auto"/>
        <w:ind w:firstLine="848" w:firstLineChars="265"/>
        <w:rPr>
          <w:rFonts w:ascii="宋体" w:hAnsi="宋体"/>
          <w:color w:val="auto"/>
          <w:sz w:val="32"/>
          <w:szCs w:val="32"/>
          <w:highlight w:val="none"/>
          <w:u w:val="single"/>
        </w:rPr>
      </w:pPr>
      <w:r>
        <w:rPr>
          <w:rFonts w:hint="eastAsia" w:ascii="宋体" w:hAnsi="宋体"/>
          <w:color w:val="auto"/>
          <w:sz w:val="32"/>
          <w:szCs w:val="32"/>
          <w:highlight w:val="none"/>
        </w:rPr>
        <w:t>供应商名称：</w:t>
      </w:r>
      <w:r>
        <w:rPr>
          <w:rFonts w:hint="eastAsia" w:ascii="宋体" w:hAnsi="宋体"/>
          <w:color w:val="auto"/>
          <w:sz w:val="32"/>
          <w:szCs w:val="32"/>
          <w:highlight w:val="none"/>
          <w:u w:val="single"/>
        </w:rPr>
        <w:t xml:space="preserve">                         </w:t>
      </w:r>
    </w:p>
    <w:p w14:paraId="29D1E405">
      <w:pPr>
        <w:spacing w:line="360" w:lineRule="auto"/>
        <w:ind w:firstLine="3408" w:firstLineChars="1065"/>
        <w:rPr>
          <w:rFonts w:ascii="宋体" w:hAnsi="宋体"/>
          <w:color w:val="auto"/>
          <w:sz w:val="32"/>
          <w:szCs w:val="32"/>
          <w:highlight w:val="none"/>
        </w:rPr>
      </w:pPr>
    </w:p>
    <w:p w14:paraId="31EBBDF6">
      <w:pPr>
        <w:spacing w:line="360" w:lineRule="auto"/>
        <w:ind w:firstLine="3408" w:firstLineChars="1065"/>
        <w:rPr>
          <w:rFonts w:ascii="宋体" w:hAnsi="宋体"/>
          <w:color w:val="auto"/>
          <w:sz w:val="32"/>
          <w:szCs w:val="32"/>
          <w:highlight w:val="none"/>
        </w:rPr>
      </w:pPr>
      <w:r>
        <w:rPr>
          <w:rFonts w:hint="eastAsia" w:ascii="宋体" w:hAnsi="宋体"/>
          <w:color w:val="auto"/>
          <w:sz w:val="32"/>
          <w:szCs w:val="32"/>
          <w:highlight w:val="none"/>
        </w:rPr>
        <w:t>年</w:t>
      </w:r>
      <w:r>
        <w:rPr>
          <w:rFonts w:hint="eastAsia" w:ascii="宋体" w:hAnsi="宋体" w:cs="宋体"/>
          <w:color w:val="auto"/>
          <w:sz w:val="32"/>
          <w:szCs w:val="32"/>
          <w:highlight w:val="none"/>
        </w:rPr>
        <w:t xml:space="preserve">    </w:t>
      </w:r>
      <w:r>
        <w:rPr>
          <w:rFonts w:hint="eastAsia" w:ascii="宋体" w:hAnsi="宋体"/>
          <w:color w:val="auto"/>
          <w:sz w:val="32"/>
          <w:szCs w:val="32"/>
          <w:highlight w:val="none"/>
        </w:rPr>
        <w:t>月    日</w:t>
      </w:r>
    </w:p>
    <w:p w14:paraId="6E545DFA">
      <w:pPr>
        <w:pStyle w:val="33"/>
        <w:rPr>
          <w:rFonts w:ascii="宋体" w:hAnsi="宋体"/>
          <w:color w:val="auto"/>
          <w:sz w:val="32"/>
          <w:szCs w:val="32"/>
          <w:highlight w:val="none"/>
        </w:rPr>
      </w:pPr>
    </w:p>
    <w:p w14:paraId="3D090D29">
      <w:pPr>
        <w:pStyle w:val="33"/>
        <w:rPr>
          <w:rFonts w:ascii="宋体" w:hAnsi="宋体"/>
          <w:color w:val="auto"/>
          <w:sz w:val="32"/>
          <w:szCs w:val="32"/>
          <w:highlight w:val="none"/>
        </w:rPr>
      </w:pPr>
    </w:p>
    <w:p w14:paraId="725FEA0C">
      <w:pPr>
        <w:pStyle w:val="33"/>
        <w:rPr>
          <w:rFonts w:ascii="宋体" w:hAnsi="宋体"/>
          <w:color w:val="auto"/>
          <w:sz w:val="32"/>
          <w:szCs w:val="32"/>
          <w:highlight w:val="none"/>
        </w:rPr>
      </w:pPr>
    </w:p>
    <w:p w14:paraId="2D2A839A">
      <w:pPr>
        <w:pStyle w:val="33"/>
        <w:rPr>
          <w:rFonts w:ascii="宋体" w:hAnsi="宋体"/>
          <w:color w:val="auto"/>
          <w:sz w:val="32"/>
          <w:szCs w:val="32"/>
          <w:highlight w:val="none"/>
        </w:rPr>
      </w:pPr>
    </w:p>
    <w:p w14:paraId="1A06A153">
      <w:pPr>
        <w:tabs>
          <w:tab w:val="left" w:pos="2625"/>
        </w:tabs>
        <w:spacing w:line="360" w:lineRule="auto"/>
        <w:jc w:val="center"/>
        <w:rPr>
          <w:rFonts w:ascii="宋体" w:hAnsi="宋体"/>
          <w:color w:val="auto"/>
          <w:szCs w:val="21"/>
          <w:highlight w:val="none"/>
        </w:rPr>
      </w:pPr>
    </w:p>
    <w:p w14:paraId="197C768C">
      <w:pPr>
        <w:jc w:val="center"/>
        <w:rPr>
          <w:rFonts w:ascii="宋体" w:hAnsi="宋体"/>
          <w:b/>
          <w:color w:val="auto"/>
          <w:sz w:val="32"/>
          <w:szCs w:val="32"/>
          <w:highlight w:val="none"/>
        </w:rPr>
      </w:pPr>
      <w:r>
        <w:rPr>
          <w:rFonts w:hint="eastAsia" w:ascii="宋体" w:hAnsi="宋体"/>
          <w:b/>
          <w:color w:val="auto"/>
          <w:sz w:val="32"/>
          <w:szCs w:val="32"/>
          <w:highlight w:val="none"/>
        </w:rPr>
        <w:t>磋  商  函（格 式）</w:t>
      </w:r>
    </w:p>
    <w:p w14:paraId="7EC59FB9">
      <w:pPr>
        <w:jc w:val="center"/>
        <w:rPr>
          <w:rFonts w:ascii="宋体" w:hAnsi="宋体"/>
          <w:b/>
          <w:color w:val="auto"/>
          <w:szCs w:val="21"/>
          <w:highlight w:val="none"/>
        </w:rPr>
      </w:pPr>
    </w:p>
    <w:p w14:paraId="4B06444B">
      <w:pPr>
        <w:pStyle w:val="27"/>
        <w:spacing w:line="440" w:lineRule="exact"/>
        <w:rPr>
          <w:rFonts w:hAnsi="宋体"/>
          <w:color w:val="auto"/>
          <w:sz w:val="21"/>
          <w:highlight w:val="none"/>
        </w:rPr>
      </w:pPr>
      <w:r>
        <w:rPr>
          <w:rFonts w:hint="eastAsia" w:hAnsi="宋体"/>
          <w:color w:val="auto"/>
          <w:sz w:val="21"/>
          <w:highlight w:val="none"/>
          <w:u w:val="single"/>
        </w:rPr>
        <w:t>（采购人）</w:t>
      </w:r>
      <w:r>
        <w:rPr>
          <w:rFonts w:hint="eastAsia" w:hAnsi="宋体"/>
          <w:color w:val="auto"/>
          <w:sz w:val="21"/>
          <w:highlight w:val="none"/>
        </w:rPr>
        <w:t>：</w:t>
      </w:r>
    </w:p>
    <w:p w14:paraId="5DF47B09">
      <w:pPr>
        <w:pStyle w:val="27"/>
        <w:spacing w:line="440" w:lineRule="exact"/>
        <w:ind w:firstLine="480"/>
        <w:rPr>
          <w:rFonts w:hAnsi="宋体"/>
          <w:color w:val="auto"/>
          <w:sz w:val="21"/>
          <w:highlight w:val="none"/>
        </w:rPr>
      </w:pPr>
      <w:r>
        <w:rPr>
          <w:rFonts w:hint="eastAsia" w:hAnsi="宋体"/>
          <w:color w:val="auto"/>
          <w:sz w:val="21"/>
          <w:highlight w:val="none"/>
        </w:rPr>
        <w:t>依据贵方</w:t>
      </w:r>
      <w:r>
        <w:rPr>
          <w:rFonts w:hint="eastAsia" w:hAnsi="宋体"/>
          <w:color w:val="auto"/>
          <w:sz w:val="21"/>
          <w:highlight w:val="none"/>
          <w:u w:val="single"/>
        </w:rPr>
        <w:t xml:space="preserve"> （项目名称、文件编号）  </w:t>
      </w:r>
      <w:r>
        <w:rPr>
          <w:rFonts w:hint="eastAsia" w:hAnsi="宋体"/>
          <w:color w:val="auto"/>
          <w:sz w:val="21"/>
          <w:highlight w:val="none"/>
        </w:rPr>
        <w:t>项目采购文件的要求，我方</w:t>
      </w:r>
      <w:r>
        <w:rPr>
          <w:rFonts w:hint="eastAsia" w:hAnsi="宋体"/>
          <w:color w:val="auto"/>
          <w:sz w:val="21"/>
          <w:highlight w:val="none"/>
          <w:u w:val="single"/>
        </w:rPr>
        <w:t xml:space="preserve"> （姓名和职务）  </w:t>
      </w:r>
      <w:r>
        <w:rPr>
          <w:rFonts w:hint="eastAsia" w:hAnsi="宋体"/>
          <w:color w:val="auto"/>
          <w:sz w:val="21"/>
          <w:highlight w:val="none"/>
        </w:rPr>
        <w:t>经正式授权并代表供应商</w:t>
      </w:r>
      <w:r>
        <w:rPr>
          <w:rFonts w:hint="eastAsia" w:hAnsi="宋体"/>
          <w:color w:val="auto"/>
          <w:sz w:val="21"/>
          <w:highlight w:val="none"/>
          <w:u w:val="single"/>
        </w:rPr>
        <w:t xml:space="preserve">  </w:t>
      </w:r>
      <w:r>
        <w:rPr>
          <w:rFonts w:hint="eastAsia" w:hAnsi="宋体"/>
          <w:b/>
          <w:color w:val="auto"/>
          <w:sz w:val="21"/>
          <w:highlight w:val="none"/>
          <w:u w:val="single"/>
        </w:rPr>
        <w:t>（磋商供应商名称、地址）</w:t>
      </w:r>
      <w:r>
        <w:rPr>
          <w:rFonts w:hint="eastAsia" w:hAnsi="宋体"/>
          <w:color w:val="auto"/>
          <w:sz w:val="21"/>
          <w:highlight w:val="none"/>
          <w:u w:val="single"/>
        </w:rPr>
        <w:t xml:space="preserve">  </w:t>
      </w:r>
      <w:r>
        <w:rPr>
          <w:rFonts w:hint="eastAsia" w:hAnsi="宋体"/>
          <w:color w:val="auto"/>
          <w:sz w:val="21"/>
          <w:highlight w:val="none"/>
        </w:rPr>
        <w:t>提交下述</w:t>
      </w:r>
      <w:r>
        <w:rPr>
          <w:rFonts w:hint="eastAsia" w:hAnsi="宋体" w:cs="宋体;SimSun"/>
          <w:color w:val="auto"/>
          <w:highlight w:val="none"/>
        </w:rPr>
        <w:t>的</w:t>
      </w:r>
      <w:r>
        <w:rPr>
          <w:rFonts w:hint="eastAsia" w:hAnsi="宋体"/>
          <w:color w:val="auto"/>
          <w:sz w:val="21"/>
          <w:highlight w:val="none"/>
        </w:rPr>
        <w:t>响应文件（</w:t>
      </w:r>
      <w:r>
        <w:rPr>
          <w:rFonts w:hint="eastAsia" w:hAnsi="宋体" w:cs="宋体;SimSun"/>
          <w:color w:val="auto"/>
          <w:highlight w:val="none"/>
        </w:rPr>
        <w:t>报价文件、技术文件、商务文件</w:t>
      </w:r>
      <w:r>
        <w:rPr>
          <w:rFonts w:hint="eastAsia" w:hAnsi="宋体"/>
          <w:color w:val="auto"/>
          <w:sz w:val="21"/>
          <w:highlight w:val="none"/>
        </w:rPr>
        <w:t>）各正本一份，各副本</w:t>
      </w:r>
      <w:r>
        <w:rPr>
          <w:rFonts w:hint="eastAsia" w:hAnsi="宋体"/>
          <w:color w:val="auto"/>
          <w:sz w:val="21"/>
          <w:highlight w:val="none"/>
          <w:u w:val="single"/>
        </w:rPr>
        <w:t xml:space="preserve">   </w:t>
      </w:r>
      <w:r>
        <w:rPr>
          <w:rFonts w:hint="eastAsia" w:hAnsi="宋体"/>
          <w:color w:val="auto"/>
          <w:sz w:val="21"/>
          <w:highlight w:val="none"/>
        </w:rPr>
        <w:t>份。</w:t>
      </w:r>
    </w:p>
    <w:p w14:paraId="0BCA6466">
      <w:pPr>
        <w:pStyle w:val="27"/>
        <w:spacing w:line="440" w:lineRule="exact"/>
        <w:ind w:firstLine="420" w:firstLineChars="200"/>
        <w:rPr>
          <w:rFonts w:hAnsi="宋体"/>
          <w:color w:val="auto"/>
          <w:sz w:val="21"/>
          <w:highlight w:val="none"/>
        </w:rPr>
      </w:pPr>
      <w:r>
        <w:rPr>
          <w:rFonts w:hint="eastAsia" w:hAnsi="宋体"/>
          <w:color w:val="auto"/>
          <w:sz w:val="21"/>
          <w:highlight w:val="none"/>
        </w:rPr>
        <w:t>在此，授权代表宣布同意如下：</w:t>
      </w:r>
    </w:p>
    <w:p w14:paraId="5CE32ED3">
      <w:pPr>
        <w:pStyle w:val="27"/>
        <w:spacing w:line="440" w:lineRule="exact"/>
        <w:ind w:firstLine="480"/>
        <w:rPr>
          <w:rFonts w:hAnsi="宋体"/>
          <w:color w:val="auto"/>
          <w:sz w:val="21"/>
          <w:highlight w:val="none"/>
        </w:rPr>
      </w:pPr>
      <w:r>
        <w:rPr>
          <w:rFonts w:hint="eastAsia" w:hAnsi="宋体"/>
          <w:color w:val="auto"/>
          <w:sz w:val="21"/>
          <w:highlight w:val="none"/>
        </w:rPr>
        <w:t>1. 将按竞争性磋商文件的约定履行合同责任和义务；</w:t>
      </w:r>
    </w:p>
    <w:p w14:paraId="22A575E9">
      <w:pPr>
        <w:pStyle w:val="27"/>
        <w:spacing w:line="440" w:lineRule="exact"/>
        <w:ind w:left="840" w:hanging="360"/>
        <w:rPr>
          <w:rFonts w:hAnsi="宋体"/>
          <w:color w:val="auto"/>
          <w:sz w:val="21"/>
          <w:highlight w:val="none"/>
        </w:rPr>
      </w:pPr>
      <w:r>
        <w:rPr>
          <w:rFonts w:hint="eastAsia" w:hAnsi="宋体"/>
          <w:color w:val="auto"/>
          <w:sz w:val="21"/>
          <w:highlight w:val="none"/>
        </w:rPr>
        <w:t>2. 已详细审查全部竞争性磋商文件，包括</w:t>
      </w:r>
      <w:r>
        <w:rPr>
          <w:rFonts w:hint="eastAsia" w:hAnsi="宋体"/>
          <w:color w:val="auto"/>
          <w:sz w:val="21"/>
          <w:highlight w:val="none"/>
          <w:u w:val="single"/>
        </w:rPr>
        <w:t>（补遗文件）（如有）</w:t>
      </w:r>
      <w:r>
        <w:rPr>
          <w:rFonts w:hint="eastAsia" w:hAnsi="宋体"/>
          <w:color w:val="auto"/>
          <w:sz w:val="21"/>
          <w:highlight w:val="none"/>
        </w:rPr>
        <w:t>；我们完全理解并同意放弃对这方面有不明及误解的权力；</w:t>
      </w:r>
    </w:p>
    <w:p w14:paraId="32A21C04">
      <w:pPr>
        <w:pStyle w:val="27"/>
        <w:spacing w:line="440" w:lineRule="exact"/>
        <w:ind w:left="840" w:hanging="360"/>
        <w:rPr>
          <w:rFonts w:hAnsi="宋体"/>
          <w:color w:val="auto"/>
          <w:sz w:val="21"/>
          <w:highlight w:val="none"/>
        </w:rPr>
      </w:pPr>
      <w:r>
        <w:rPr>
          <w:rFonts w:hint="eastAsia" w:hAnsi="宋体"/>
          <w:color w:val="auto"/>
          <w:sz w:val="21"/>
          <w:highlight w:val="none"/>
        </w:rPr>
        <w:t>3. 同意提供按照贵方可能要求的与其磋商有关的一切数据或资料；</w:t>
      </w:r>
    </w:p>
    <w:p w14:paraId="39B7DEFB">
      <w:pPr>
        <w:pStyle w:val="27"/>
        <w:spacing w:line="440" w:lineRule="exact"/>
        <w:ind w:left="840" w:hanging="360"/>
        <w:rPr>
          <w:rFonts w:hAnsi="宋体"/>
          <w:color w:val="auto"/>
          <w:sz w:val="21"/>
          <w:highlight w:val="none"/>
          <w:u w:val="single"/>
        </w:rPr>
      </w:pPr>
      <w:r>
        <w:rPr>
          <w:rFonts w:hint="eastAsia" w:hAnsi="宋体"/>
          <w:color w:val="auto"/>
          <w:sz w:val="21"/>
          <w:highlight w:val="none"/>
        </w:rPr>
        <w:t>4. 与本磋商有关的一切正式往来信函请寄：</w:t>
      </w:r>
      <w:r>
        <w:rPr>
          <w:rFonts w:hint="eastAsia" w:hAnsi="宋体"/>
          <w:color w:val="auto"/>
          <w:sz w:val="21"/>
          <w:highlight w:val="none"/>
          <w:u w:val="single"/>
        </w:rPr>
        <w:t xml:space="preserve">                  </w:t>
      </w:r>
    </w:p>
    <w:p w14:paraId="3D8175C6">
      <w:pPr>
        <w:pStyle w:val="27"/>
        <w:spacing w:line="440" w:lineRule="exact"/>
        <w:ind w:left="838" w:leftChars="399"/>
        <w:rPr>
          <w:rFonts w:hAnsi="宋体"/>
          <w:color w:val="auto"/>
          <w:sz w:val="21"/>
          <w:highlight w:val="none"/>
        </w:rPr>
      </w:pPr>
      <w:r>
        <w:rPr>
          <w:rFonts w:hint="eastAsia" w:hAnsi="宋体"/>
          <w:color w:val="auto"/>
          <w:sz w:val="21"/>
          <w:highlight w:val="none"/>
        </w:rPr>
        <w:t>邮政编号：</w:t>
      </w:r>
      <w:r>
        <w:rPr>
          <w:rFonts w:hint="eastAsia" w:hAnsi="宋体"/>
          <w:color w:val="auto"/>
          <w:sz w:val="21"/>
          <w:highlight w:val="none"/>
          <w:u w:val="single"/>
        </w:rPr>
        <w:t xml:space="preserve">                          </w:t>
      </w:r>
    </w:p>
    <w:p w14:paraId="5230A7A7">
      <w:pPr>
        <w:pStyle w:val="27"/>
        <w:spacing w:line="440" w:lineRule="exact"/>
        <w:ind w:firstLine="840"/>
        <w:rPr>
          <w:rFonts w:hAnsi="宋体"/>
          <w:color w:val="auto"/>
          <w:sz w:val="21"/>
          <w:highlight w:val="none"/>
        </w:rPr>
      </w:pPr>
      <w:r>
        <w:rPr>
          <w:rFonts w:hint="eastAsia" w:hAnsi="宋体"/>
          <w:color w:val="auto"/>
          <w:sz w:val="21"/>
          <w:highlight w:val="none"/>
        </w:rPr>
        <w:t>电    话：</w:t>
      </w:r>
      <w:r>
        <w:rPr>
          <w:rFonts w:hint="eastAsia" w:hAnsi="宋体"/>
          <w:color w:val="auto"/>
          <w:sz w:val="21"/>
          <w:highlight w:val="none"/>
          <w:u w:val="single"/>
        </w:rPr>
        <w:t xml:space="preserve">                          </w:t>
      </w:r>
    </w:p>
    <w:p w14:paraId="49360BBE">
      <w:pPr>
        <w:pStyle w:val="27"/>
        <w:spacing w:line="440" w:lineRule="exact"/>
        <w:ind w:firstLine="840"/>
        <w:rPr>
          <w:rFonts w:hAnsi="宋体"/>
          <w:color w:val="auto"/>
          <w:sz w:val="21"/>
          <w:highlight w:val="none"/>
        </w:rPr>
      </w:pPr>
      <w:r>
        <w:rPr>
          <w:rFonts w:hint="eastAsia" w:hAnsi="宋体"/>
          <w:color w:val="auto"/>
          <w:sz w:val="21"/>
          <w:highlight w:val="none"/>
        </w:rPr>
        <w:t>电子函件：</w:t>
      </w:r>
      <w:r>
        <w:rPr>
          <w:rFonts w:hint="eastAsia" w:hAnsi="宋体"/>
          <w:color w:val="auto"/>
          <w:sz w:val="21"/>
          <w:highlight w:val="none"/>
          <w:u w:val="single"/>
        </w:rPr>
        <w:t xml:space="preserve">                          </w:t>
      </w:r>
    </w:p>
    <w:p w14:paraId="4C54BAB2">
      <w:pPr>
        <w:pStyle w:val="27"/>
        <w:spacing w:line="440" w:lineRule="exact"/>
        <w:ind w:firstLine="840"/>
        <w:rPr>
          <w:rFonts w:hAnsi="宋体"/>
          <w:color w:val="auto"/>
          <w:sz w:val="21"/>
          <w:highlight w:val="none"/>
        </w:rPr>
      </w:pPr>
      <w:r>
        <w:rPr>
          <w:rFonts w:hint="eastAsia" w:hAnsi="宋体"/>
          <w:color w:val="auto"/>
          <w:sz w:val="21"/>
          <w:highlight w:val="none"/>
        </w:rPr>
        <w:t>开户银行：</w:t>
      </w:r>
      <w:r>
        <w:rPr>
          <w:rFonts w:hint="eastAsia" w:hAnsi="宋体"/>
          <w:color w:val="auto"/>
          <w:sz w:val="21"/>
          <w:highlight w:val="none"/>
          <w:u w:val="single"/>
        </w:rPr>
        <w:t xml:space="preserve">                          </w:t>
      </w:r>
    </w:p>
    <w:p w14:paraId="72657206">
      <w:pPr>
        <w:pStyle w:val="27"/>
        <w:spacing w:line="440" w:lineRule="exact"/>
        <w:ind w:firstLine="840"/>
        <w:rPr>
          <w:rFonts w:hAnsi="宋体"/>
          <w:color w:val="auto"/>
          <w:sz w:val="21"/>
          <w:highlight w:val="none"/>
        </w:rPr>
      </w:pPr>
      <w:r>
        <w:rPr>
          <w:rFonts w:hint="eastAsia" w:hAnsi="宋体"/>
          <w:color w:val="auto"/>
          <w:sz w:val="21"/>
          <w:highlight w:val="none"/>
        </w:rPr>
        <w:t>帐    号：</w:t>
      </w:r>
      <w:r>
        <w:rPr>
          <w:rFonts w:hint="eastAsia" w:hAnsi="宋体"/>
          <w:color w:val="auto"/>
          <w:sz w:val="21"/>
          <w:highlight w:val="none"/>
          <w:u w:val="single"/>
        </w:rPr>
        <w:t xml:space="preserve">                          </w:t>
      </w:r>
      <w:r>
        <w:rPr>
          <w:rFonts w:hint="eastAsia" w:hAnsi="宋体"/>
          <w:color w:val="auto"/>
          <w:sz w:val="21"/>
          <w:highlight w:val="none"/>
        </w:rPr>
        <w:t xml:space="preserve">   </w:t>
      </w:r>
    </w:p>
    <w:p w14:paraId="37DF2642">
      <w:pPr>
        <w:pStyle w:val="27"/>
        <w:spacing w:line="440" w:lineRule="exact"/>
        <w:ind w:firstLine="840"/>
        <w:rPr>
          <w:rFonts w:hAnsi="宋体"/>
          <w:color w:val="auto"/>
          <w:sz w:val="21"/>
          <w:highlight w:val="none"/>
        </w:rPr>
      </w:pPr>
    </w:p>
    <w:p w14:paraId="76412647">
      <w:pPr>
        <w:pStyle w:val="27"/>
        <w:spacing w:line="400" w:lineRule="exact"/>
        <w:ind w:firstLine="210" w:firstLineChars="100"/>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722BE096">
      <w:pPr>
        <w:pStyle w:val="27"/>
        <w:spacing w:line="400" w:lineRule="exact"/>
        <w:rPr>
          <w:rFonts w:hAnsi="宋体"/>
          <w:color w:val="auto"/>
          <w:sz w:val="21"/>
          <w:highlight w:val="none"/>
          <w:u w:val="single"/>
        </w:rPr>
      </w:pPr>
    </w:p>
    <w:p w14:paraId="57421B96">
      <w:pPr>
        <w:pStyle w:val="27"/>
        <w:spacing w:line="400" w:lineRule="exact"/>
        <w:ind w:firstLine="210" w:firstLineChars="100"/>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791894F">
      <w:pPr>
        <w:pStyle w:val="27"/>
        <w:spacing w:line="480" w:lineRule="exact"/>
        <w:rPr>
          <w:rFonts w:hAnsi="宋体"/>
          <w:color w:val="auto"/>
          <w:sz w:val="21"/>
          <w:highlight w:val="none"/>
          <w:u w:val="single"/>
        </w:rPr>
      </w:pPr>
    </w:p>
    <w:p w14:paraId="0D8D0BD8">
      <w:pPr>
        <w:pStyle w:val="27"/>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368C04C">
      <w:pPr>
        <w:pStyle w:val="27"/>
        <w:spacing w:line="440" w:lineRule="exact"/>
        <w:ind w:firstLine="840"/>
        <w:rPr>
          <w:rFonts w:hAnsi="宋体"/>
          <w:color w:val="auto"/>
          <w:sz w:val="21"/>
          <w:highlight w:val="none"/>
          <w:u w:val="single"/>
        </w:rPr>
      </w:pPr>
    </w:p>
    <w:p w14:paraId="4BAE9F13">
      <w:pPr>
        <w:pStyle w:val="27"/>
        <w:spacing w:line="440" w:lineRule="exact"/>
        <w:ind w:firstLine="840"/>
        <w:rPr>
          <w:rFonts w:hAnsi="宋体"/>
          <w:color w:val="auto"/>
          <w:sz w:val="21"/>
          <w:highlight w:val="none"/>
        </w:rPr>
      </w:pPr>
    </w:p>
    <w:p w14:paraId="3B7F1204">
      <w:pPr>
        <w:pStyle w:val="27"/>
        <w:spacing w:line="440" w:lineRule="exact"/>
        <w:ind w:firstLine="840"/>
        <w:rPr>
          <w:rFonts w:hAnsi="宋体"/>
          <w:color w:val="auto"/>
          <w:sz w:val="21"/>
          <w:highlight w:val="none"/>
        </w:rPr>
      </w:pPr>
    </w:p>
    <w:p w14:paraId="3C5AB0AD">
      <w:pPr>
        <w:spacing w:line="440" w:lineRule="exact"/>
        <w:rPr>
          <w:rFonts w:ascii="宋体" w:hAnsi="宋体"/>
          <w:color w:val="auto"/>
          <w:szCs w:val="21"/>
          <w:highlight w:val="none"/>
        </w:rPr>
      </w:pPr>
    </w:p>
    <w:p w14:paraId="163D70B1">
      <w:pPr>
        <w:spacing w:line="360" w:lineRule="exact"/>
        <w:rPr>
          <w:rFonts w:ascii="宋体" w:hAnsi="宋体"/>
          <w:color w:val="auto"/>
          <w:szCs w:val="21"/>
          <w:highlight w:val="none"/>
        </w:rPr>
      </w:pPr>
    </w:p>
    <w:p w14:paraId="2B8F3DED">
      <w:pPr>
        <w:spacing w:line="360" w:lineRule="exact"/>
        <w:rPr>
          <w:rFonts w:ascii="宋体" w:hAnsi="宋体"/>
          <w:color w:val="auto"/>
          <w:szCs w:val="21"/>
          <w:highlight w:val="none"/>
        </w:rPr>
      </w:pPr>
    </w:p>
    <w:p w14:paraId="13DF7AEE">
      <w:pPr>
        <w:spacing w:line="360" w:lineRule="exact"/>
        <w:rPr>
          <w:rFonts w:ascii="宋体" w:hAnsi="宋体"/>
          <w:color w:val="auto"/>
          <w:szCs w:val="21"/>
          <w:highlight w:val="none"/>
        </w:rPr>
      </w:pPr>
    </w:p>
    <w:p w14:paraId="7CE404E3">
      <w:pPr>
        <w:spacing w:line="360" w:lineRule="exact"/>
        <w:jc w:val="center"/>
        <w:rPr>
          <w:rFonts w:ascii="宋体" w:hAnsi="宋体"/>
          <w:b/>
          <w:color w:val="auto"/>
          <w:sz w:val="32"/>
          <w:szCs w:val="32"/>
          <w:highlight w:val="none"/>
        </w:rPr>
      </w:pPr>
    </w:p>
    <w:p w14:paraId="5B19ADDE">
      <w:pPr>
        <w:spacing w:line="360" w:lineRule="exact"/>
        <w:jc w:val="center"/>
        <w:rPr>
          <w:rFonts w:ascii="宋体" w:hAnsi="宋体"/>
          <w:b/>
          <w:color w:val="auto"/>
          <w:sz w:val="32"/>
          <w:szCs w:val="32"/>
          <w:highlight w:val="none"/>
        </w:rPr>
      </w:pPr>
    </w:p>
    <w:p w14:paraId="2B8DACC0">
      <w:pPr>
        <w:spacing w:line="360" w:lineRule="exact"/>
        <w:jc w:val="center"/>
        <w:rPr>
          <w:rFonts w:ascii="宋体" w:hAnsi="宋体"/>
          <w:b/>
          <w:color w:val="auto"/>
          <w:sz w:val="32"/>
          <w:szCs w:val="32"/>
          <w:highlight w:val="none"/>
        </w:rPr>
      </w:pPr>
      <w:r>
        <w:rPr>
          <w:rFonts w:hint="eastAsia" w:ascii="宋体" w:hAnsi="宋体"/>
          <w:b/>
          <w:color w:val="auto"/>
          <w:sz w:val="32"/>
          <w:szCs w:val="32"/>
          <w:highlight w:val="none"/>
        </w:rPr>
        <w:t>竞标声明函（格式）</w:t>
      </w:r>
    </w:p>
    <w:p w14:paraId="735A3E8D">
      <w:pPr>
        <w:jc w:val="center"/>
        <w:rPr>
          <w:rFonts w:ascii="宋体" w:hAnsi="宋体"/>
          <w:color w:val="auto"/>
          <w:sz w:val="24"/>
          <w:szCs w:val="20"/>
          <w:highlight w:val="none"/>
        </w:rPr>
      </w:pPr>
    </w:p>
    <w:p w14:paraId="705BA7F3">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致：</w:t>
      </w:r>
      <w:r>
        <w:rPr>
          <w:rFonts w:hint="eastAsia" w:ascii="宋体" w:hAnsi="宋体"/>
          <w:color w:val="auto"/>
          <w:szCs w:val="21"/>
          <w:highlight w:val="none"/>
          <w:u w:val="single"/>
        </w:rPr>
        <w:t xml:space="preserve">      （采购人）     </w:t>
      </w:r>
      <w:r>
        <w:rPr>
          <w:rFonts w:hint="eastAsia" w:ascii="宋体" w:hAnsi="宋体"/>
          <w:color w:val="auto"/>
          <w:szCs w:val="21"/>
          <w:highlight w:val="none"/>
        </w:rPr>
        <w:t>：</w:t>
      </w:r>
    </w:p>
    <w:p w14:paraId="0144803C">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（供应商名称）系中华人民共和国合法企业，经营地址</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89CF2BB">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highlight w:val="none"/>
        </w:rPr>
        <w:t>法定代表人</w:t>
      </w:r>
      <w:r>
        <w:rPr>
          <w:rFonts w:hint="eastAsia" w:ascii="宋体" w:hAnsi="宋体"/>
          <w:color w:val="auto"/>
          <w:szCs w:val="21"/>
          <w:highlight w:val="none"/>
        </w:rPr>
        <w:t>，我方愿意参加贵方组织的</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项目的竞标，为便于贵方公正、择优地确定成交供应商及其竞标产品和服务，我方就本次竞标有关事项郑重声明如下：</w:t>
      </w:r>
    </w:p>
    <w:p w14:paraId="51049733">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1.我方向贵方提交的所有响应文件、资料都是准确的和真实的。</w:t>
      </w:r>
    </w:p>
    <w:p w14:paraId="771A4E39">
      <w:pPr>
        <w:snapToGrid w:val="0"/>
        <w:spacing w:before="156" w:beforeLines="50" w:line="440" w:lineRule="exact"/>
        <w:ind w:firstLine="420" w:firstLineChars="200"/>
        <w:rPr>
          <w:rFonts w:ascii="宋体" w:hAnsi="宋体"/>
          <w:color w:val="auto"/>
          <w:szCs w:val="21"/>
          <w:highlight w:val="none"/>
        </w:rPr>
      </w:pPr>
      <w:r>
        <w:rPr>
          <w:rFonts w:hint="eastAsia" w:ascii="宋体" w:hAnsi="宋体"/>
          <w:color w:val="auto"/>
          <w:szCs w:val="21"/>
          <w:highlight w:val="none"/>
        </w:rPr>
        <w:t>2.我方不是采购人的附属机构；在获知本项目采购信息后，与采购人聘请的为此项目提供咨询服务的公司及其附属机构没有任何联系。</w:t>
      </w:r>
    </w:p>
    <w:p w14:paraId="77135B8E">
      <w:pPr>
        <w:snapToGrid w:val="0"/>
        <w:spacing w:before="156" w:beforeLines="50"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3.以上事项如有虚假或隐瞒，我方愿意承担一切后果，并不再寻求任何旨在减轻或免除法律责任的辩解。</w:t>
      </w:r>
    </w:p>
    <w:p w14:paraId="525043B9">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4. 根据</w:t>
      </w:r>
      <w:r>
        <w:rPr>
          <w:rFonts w:ascii="宋体" w:hAnsi="宋体"/>
          <w:color w:val="auto"/>
          <w:szCs w:val="21"/>
          <w:highlight w:val="none"/>
        </w:rPr>
        <w:t>《中华人民共和国政府采购法实施条例》第五十条要求对政府采购合同进行公告</w:t>
      </w:r>
      <w:r>
        <w:rPr>
          <w:rFonts w:hint="eastAsia" w:ascii="宋体" w:hAnsi="宋体"/>
          <w:color w:val="auto"/>
          <w:szCs w:val="21"/>
          <w:highlight w:val="none"/>
        </w:rPr>
        <w:t>，</w:t>
      </w:r>
      <w:r>
        <w:rPr>
          <w:rFonts w:ascii="宋体" w:hAnsi="宋体"/>
          <w:color w:val="auto"/>
          <w:szCs w:val="21"/>
          <w:highlight w:val="none"/>
        </w:rPr>
        <w:t>但政府采购合同中涉及国家秘密、商业秘密的内容除外。</w:t>
      </w:r>
      <w:r>
        <w:rPr>
          <w:rFonts w:hint="eastAsia" w:ascii="宋体" w:hAnsi="宋体"/>
          <w:color w:val="auto"/>
          <w:szCs w:val="21"/>
          <w:highlight w:val="none"/>
        </w:rPr>
        <w:t>我方就对本次响应文件进行注明如下：（两项内容中必须选择一项）</w:t>
      </w:r>
    </w:p>
    <w:p w14:paraId="67D00C26">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□我方本次响应文件</w:t>
      </w:r>
      <w:r>
        <w:rPr>
          <w:rFonts w:ascii="宋体" w:hAnsi="宋体" w:cs="宋体"/>
          <w:color w:val="auto"/>
          <w:kern w:val="0"/>
          <w:szCs w:val="21"/>
          <w:highlight w:val="none"/>
        </w:rPr>
        <w:t>内容中</w:t>
      </w:r>
      <w:r>
        <w:rPr>
          <w:rFonts w:hint="eastAsia" w:ascii="宋体" w:hAnsi="宋体"/>
          <w:color w:val="auto"/>
          <w:szCs w:val="21"/>
          <w:highlight w:val="none"/>
        </w:rPr>
        <w:t>未</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w:t>
      </w:r>
    </w:p>
    <w:p w14:paraId="1B646E15">
      <w:pPr>
        <w:spacing w:line="44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□我方本次响应文件</w:t>
      </w:r>
      <w:r>
        <w:rPr>
          <w:rFonts w:ascii="宋体" w:hAnsi="宋体" w:cs="宋体"/>
          <w:color w:val="auto"/>
          <w:kern w:val="0"/>
          <w:szCs w:val="21"/>
          <w:highlight w:val="none"/>
        </w:rPr>
        <w:t>涉及商业秘密</w:t>
      </w:r>
      <w:r>
        <w:rPr>
          <w:rFonts w:hint="eastAsia" w:ascii="宋体" w:hAnsi="宋体" w:cs="宋体"/>
          <w:color w:val="auto"/>
          <w:kern w:val="0"/>
          <w:szCs w:val="21"/>
          <w:highlight w:val="none"/>
        </w:rPr>
        <w:t>的</w:t>
      </w:r>
      <w:r>
        <w:rPr>
          <w:rFonts w:ascii="宋体" w:hAnsi="宋体" w:cs="宋体"/>
          <w:color w:val="auto"/>
          <w:kern w:val="0"/>
          <w:szCs w:val="21"/>
          <w:highlight w:val="none"/>
        </w:rPr>
        <w:t>内容</w:t>
      </w:r>
      <w:r>
        <w:rPr>
          <w:rFonts w:hint="eastAsia" w:ascii="宋体" w:hAnsi="宋体" w:cs="宋体"/>
          <w:color w:val="auto"/>
          <w:kern w:val="0"/>
          <w:szCs w:val="21"/>
          <w:highlight w:val="none"/>
        </w:rPr>
        <w:t>有：</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F830349">
      <w:pPr>
        <w:snapToGrid w:val="0"/>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5. 我方在此声明，我方及由本人担任</w:t>
      </w:r>
      <w:r>
        <w:rPr>
          <w:rFonts w:hint="eastAsia" w:hAnsi="宋体"/>
          <w:color w:val="auto"/>
          <w:szCs w:val="21"/>
          <w:highlight w:val="none"/>
        </w:rPr>
        <w:t>法定代表人</w:t>
      </w:r>
      <w:r>
        <w:rPr>
          <w:rFonts w:hint="eastAsia" w:ascii="宋体" w:hAnsi="宋体"/>
          <w:color w:val="auto"/>
          <w:szCs w:val="21"/>
          <w:highlight w:val="none"/>
        </w:rPr>
        <w:t>的其他机构在参加本项目的政府采购活动前三年内，在经营活动中没有重大违法记录，我方不属于公益一类事业单位或使用事业编制且由财政拨款保障的群团组织，符合《中华人民共和国政府采购法》及《中华人民共和国政府采购实施条例》规定的供应商条件，我方对此声明负全部法律责任。</w:t>
      </w:r>
    </w:p>
    <w:p w14:paraId="6A8E0DDB">
      <w:pPr>
        <w:pStyle w:val="130"/>
        <w:snapToGrid w:val="0"/>
        <w:spacing w:before="156" w:beforeLines="50" w:line="440" w:lineRule="exact"/>
        <w:ind w:firstLine="200"/>
        <w:rPr>
          <w:rFonts w:ascii="宋体" w:hAnsi="宋体"/>
          <w:color w:val="auto"/>
          <w:sz w:val="21"/>
          <w:szCs w:val="21"/>
          <w:highlight w:val="none"/>
        </w:rPr>
      </w:pPr>
    </w:p>
    <w:p w14:paraId="6EF00063">
      <w:pPr>
        <w:pStyle w:val="27"/>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19C03B14">
      <w:pPr>
        <w:pStyle w:val="27"/>
        <w:spacing w:line="400" w:lineRule="exact"/>
        <w:rPr>
          <w:rFonts w:hAnsi="宋体"/>
          <w:color w:val="auto"/>
          <w:sz w:val="21"/>
          <w:highlight w:val="none"/>
          <w:u w:val="single"/>
        </w:rPr>
      </w:pPr>
    </w:p>
    <w:p w14:paraId="7940A24C">
      <w:pPr>
        <w:pStyle w:val="27"/>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5467A7A5">
      <w:pPr>
        <w:pStyle w:val="27"/>
        <w:spacing w:line="480" w:lineRule="exact"/>
        <w:rPr>
          <w:rFonts w:hAnsi="宋体"/>
          <w:color w:val="auto"/>
          <w:sz w:val="21"/>
          <w:highlight w:val="none"/>
          <w:u w:val="single"/>
        </w:rPr>
      </w:pPr>
    </w:p>
    <w:p w14:paraId="26B616FB">
      <w:pPr>
        <w:pStyle w:val="27"/>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6F9AA96C">
      <w:pPr>
        <w:spacing w:line="360" w:lineRule="exact"/>
        <w:jc w:val="center"/>
        <w:rPr>
          <w:rFonts w:ascii="宋体" w:hAnsi="宋体"/>
          <w:b/>
          <w:color w:val="auto"/>
          <w:sz w:val="30"/>
          <w:highlight w:val="none"/>
        </w:rPr>
      </w:pPr>
      <w:r>
        <w:rPr>
          <w:rFonts w:ascii="宋体" w:hAnsi="宋体"/>
          <w:color w:val="auto"/>
          <w:szCs w:val="21"/>
          <w:highlight w:val="none"/>
        </w:rPr>
        <w:br w:type="page"/>
      </w:r>
      <w:r>
        <w:rPr>
          <w:rFonts w:hint="eastAsia" w:ascii="宋体" w:hAnsi="宋体"/>
          <w:b/>
          <w:color w:val="auto"/>
          <w:sz w:val="30"/>
          <w:highlight w:val="none"/>
        </w:rPr>
        <w:t>竞标报价表（格式）</w:t>
      </w:r>
    </w:p>
    <w:p w14:paraId="0E592EED">
      <w:pPr>
        <w:spacing w:line="300" w:lineRule="auto"/>
        <w:rPr>
          <w:rFonts w:ascii="宋体" w:hAnsi="宋体"/>
          <w:color w:val="auto"/>
          <w:szCs w:val="21"/>
          <w:highlight w:val="none"/>
        </w:rPr>
      </w:pPr>
    </w:p>
    <w:p w14:paraId="6D6AEA6D">
      <w:pPr>
        <w:spacing w:line="300" w:lineRule="auto"/>
        <w:rPr>
          <w:rFonts w:ascii="宋体" w:hAnsi="宋体"/>
          <w:color w:val="auto"/>
          <w:szCs w:val="21"/>
          <w:highlight w:val="none"/>
          <w:u w:val="single"/>
        </w:rPr>
      </w:pPr>
      <w:r>
        <w:rPr>
          <w:rFonts w:hint="eastAsia" w:ascii="宋体" w:hAnsi="宋体"/>
          <w:color w:val="auto"/>
          <w:szCs w:val="21"/>
          <w:highlight w:val="none"/>
        </w:rPr>
        <w:t>采购项目编号:</w:t>
      </w:r>
      <w:r>
        <w:rPr>
          <w:rFonts w:hint="eastAsia" w:ascii="宋体" w:hAnsi="宋体"/>
          <w:color w:val="auto"/>
          <w:szCs w:val="21"/>
          <w:highlight w:val="none"/>
          <w:u w:val="single"/>
        </w:rPr>
        <w:t xml:space="preserve">                      </w:t>
      </w:r>
    </w:p>
    <w:p w14:paraId="1751A68C">
      <w:pPr>
        <w:spacing w:line="300" w:lineRule="auto"/>
        <w:rPr>
          <w:rFonts w:ascii="宋体" w:hAnsi="宋体"/>
          <w:color w:val="auto"/>
          <w:szCs w:val="21"/>
          <w:highlight w:val="none"/>
          <w:u w:val="single"/>
        </w:rPr>
      </w:pPr>
      <w:r>
        <w:rPr>
          <w:rFonts w:hint="eastAsia" w:ascii="宋体" w:hAnsi="宋体"/>
          <w:color w:val="auto"/>
          <w:szCs w:val="21"/>
          <w:highlight w:val="none"/>
        </w:rPr>
        <w:t>采购项目名称:</w:t>
      </w:r>
      <w:r>
        <w:rPr>
          <w:rFonts w:hint="eastAsia" w:ascii="宋体" w:hAnsi="宋体"/>
          <w:color w:val="auto"/>
          <w:szCs w:val="21"/>
          <w:highlight w:val="none"/>
          <w:u w:val="single"/>
        </w:rPr>
        <w:t xml:space="preserve">                      </w:t>
      </w:r>
    </w:p>
    <w:p w14:paraId="19ABF4B9">
      <w:pPr>
        <w:spacing w:line="300" w:lineRule="auto"/>
        <w:rPr>
          <w:rFonts w:ascii="宋体" w:hAnsi="宋体"/>
          <w:color w:val="auto"/>
          <w:szCs w:val="21"/>
          <w:highlight w:val="none"/>
        </w:rPr>
      </w:pPr>
      <w:r>
        <w:rPr>
          <w:rFonts w:hint="eastAsia" w:ascii="宋体" w:hAnsi="宋体"/>
          <w:color w:val="auto"/>
          <w:szCs w:val="21"/>
          <w:highlight w:val="none"/>
        </w:rPr>
        <w:t>标项名称 :</w:t>
      </w:r>
      <w:r>
        <w:rPr>
          <w:rFonts w:hint="eastAsia" w:ascii="宋体" w:hAnsi="宋体"/>
          <w:color w:val="auto"/>
          <w:szCs w:val="21"/>
          <w:highlight w:val="none"/>
          <w:u w:val="single"/>
        </w:rPr>
        <w:t xml:space="preserve">                      </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440"/>
        <w:gridCol w:w="6210"/>
        <w:gridCol w:w="913"/>
      </w:tblGrid>
      <w:tr w14:paraId="73F7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685" w:type="dxa"/>
            <w:vAlign w:val="center"/>
          </w:tcPr>
          <w:p w14:paraId="2964FDF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440" w:type="dxa"/>
            <w:vAlign w:val="center"/>
          </w:tcPr>
          <w:p w14:paraId="0F0E9482">
            <w:pPr>
              <w:spacing w:line="360" w:lineRule="auto"/>
              <w:ind w:left="141" w:leftChars="67" w:firstLine="103" w:firstLineChars="49"/>
              <w:jc w:val="center"/>
              <w:rPr>
                <w:rFonts w:ascii="宋体" w:hAnsi="宋体" w:cs="宋体"/>
                <w:b/>
                <w:color w:val="auto"/>
                <w:szCs w:val="21"/>
                <w:highlight w:val="none"/>
              </w:rPr>
            </w:pPr>
            <w:r>
              <w:rPr>
                <w:rFonts w:hint="eastAsia" w:ascii="宋体" w:hAnsi="宋体" w:cs="宋体"/>
                <w:b/>
                <w:color w:val="auto"/>
                <w:szCs w:val="21"/>
                <w:highlight w:val="none"/>
              </w:rPr>
              <w:t>项  目</w:t>
            </w:r>
          </w:p>
        </w:tc>
        <w:tc>
          <w:tcPr>
            <w:tcW w:w="6210" w:type="dxa"/>
            <w:vAlign w:val="center"/>
          </w:tcPr>
          <w:p w14:paraId="5FABA8EE">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内  容</w:t>
            </w:r>
          </w:p>
        </w:tc>
        <w:tc>
          <w:tcPr>
            <w:tcW w:w="913" w:type="dxa"/>
            <w:vAlign w:val="center"/>
          </w:tcPr>
          <w:p w14:paraId="01B5C567">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备  注</w:t>
            </w:r>
          </w:p>
        </w:tc>
      </w:tr>
      <w:tr w14:paraId="5D4A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685" w:type="dxa"/>
            <w:vAlign w:val="center"/>
          </w:tcPr>
          <w:p w14:paraId="3258E756">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1</w:t>
            </w:r>
          </w:p>
        </w:tc>
        <w:tc>
          <w:tcPr>
            <w:tcW w:w="1440" w:type="dxa"/>
            <w:vAlign w:val="center"/>
          </w:tcPr>
          <w:p w14:paraId="28D46D2F">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磋商总报价</w:t>
            </w:r>
          </w:p>
        </w:tc>
        <w:tc>
          <w:tcPr>
            <w:tcW w:w="6210" w:type="dxa"/>
            <w:vAlign w:val="center"/>
          </w:tcPr>
          <w:p w14:paraId="19CF2030">
            <w:pPr>
              <w:spacing w:line="360" w:lineRule="auto"/>
              <w:rPr>
                <w:rFonts w:ascii="宋体" w:hAnsi="宋体" w:cs="宋体"/>
                <w:color w:val="auto"/>
                <w:szCs w:val="21"/>
                <w:highlight w:val="none"/>
              </w:rPr>
            </w:pPr>
            <w:r>
              <w:rPr>
                <w:rFonts w:hint="eastAsia" w:ascii="宋体" w:hAnsi="宋体" w:cs="宋体"/>
                <w:color w:val="auto"/>
                <w:szCs w:val="21"/>
                <w:highlight w:val="none"/>
              </w:rPr>
              <w:t>（大写）人民币</w:t>
            </w:r>
            <w:r>
              <w:rPr>
                <w:rFonts w:hint="eastAsia" w:ascii="宋体" w:hAnsi="宋体" w:cs="宋体"/>
                <w:color w:val="auto"/>
                <w:szCs w:val="21"/>
                <w:highlight w:val="none"/>
                <w:u w:val="single"/>
              </w:rPr>
              <w:t xml:space="preserve">              </w:t>
            </w:r>
          </w:p>
          <w:p w14:paraId="0F2BD770">
            <w:pPr>
              <w:spacing w:line="360" w:lineRule="auto"/>
              <w:rPr>
                <w:rFonts w:ascii="宋体" w:hAnsi="宋体" w:cs="宋体"/>
                <w:color w:val="auto"/>
                <w:szCs w:val="21"/>
                <w:highlight w:val="none"/>
              </w:rPr>
            </w:pPr>
            <w:r>
              <w:rPr>
                <w:rFonts w:hint="eastAsia" w:ascii="宋体" w:hAnsi="宋体" w:cs="宋体"/>
                <w:color w:val="auto"/>
                <w:szCs w:val="21"/>
                <w:highlight w:val="none"/>
              </w:rPr>
              <w:t>（小写）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tc>
        <w:tc>
          <w:tcPr>
            <w:tcW w:w="913" w:type="dxa"/>
            <w:vAlign w:val="center"/>
          </w:tcPr>
          <w:p w14:paraId="1BC195E9">
            <w:pPr>
              <w:spacing w:line="360" w:lineRule="auto"/>
              <w:jc w:val="center"/>
              <w:rPr>
                <w:rFonts w:ascii="宋体" w:hAnsi="宋体" w:cs="宋体"/>
                <w:color w:val="auto"/>
                <w:szCs w:val="21"/>
                <w:highlight w:val="none"/>
              </w:rPr>
            </w:pPr>
          </w:p>
        </w:tc>
      </w:tr>
      <w:tr w14:paraId="3BFE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125" w:type="dxa"/>
            <w:gridSpan w:val="2"/>
            <w:vAlign w:val="center"/>
          </w:tcPr>
          <w:p w14:paraId="5DAE1422">
            <w:pPr>
              <w:spacing w:line="360" w:lineRule="auto"/>
              <w:jc w:val="center"/>
              <w:rPr>
                <w:rFonts w:ascii="宋体" w:hAnsi="宋体" w:cs="宋体"/>
                <w:b/>
                <w:color w:val="auto"/>
                <w:szCs w:val="21"/>
                <w:highlight w:val="none"/>
              </w:rPr>
            </w:pPr>
            <w:r>
              <w:rPr>
                <w:rFonts w:hint="eastAsia" w:ascii="宋体" w:hAnsi="宋体" w:cs="宋体"/>
                <w:b/>
                <w:color w:val="auto"/>
                <w:szCs w:val="21"/>
                <w:highlight w:val="none"/>
              </w:rPr>
              <w:t>服务期</w:t>
            </w:r>
          </w:p>
        </w:tc>
        <w:tc>
          <w:tcPr>
            <w:tcW w:w="6210" w:type="dxa"/>
            <w:vAlign w:val="center"/>
          </w:tcPr>
          <w:p w14:paraId="740AD20E">
            <w:pPr>
              <w:spacing w:line="360" w:lineRule="auto"/>
              <w:rPr>
                <w:rFonts w:ascii="宋体" w:hAnsi="宋体" w:cs="宋体"/>
                <w:color w:val="auto"/>
                <w:szCs w:val="21"/>
                <w:highlight w:val="none"/>
              </w:rPr>
            </w:pPr>
          </w:p>
        </w:tc>
        <w:tc>
          <w:tcPr>
            <w:tcW w:w="913" w:type="dxa"/>
            <w:vAlign w:val="center"/>
          </w:tcPr>
          <w:p w14:paraId="41E5C5C2">
            <w:pPr>
              <w:spacing w:line="360" w:lineRule="auto"/>
              <w:jc w:val="center"/>
              <w:rPr>
                <w:rFonts w:ascii="宋体" w:hAnsi="宋体" w:cs="宋体"/>
                <w:color w:val="auto"/>
                <w:szCs w:val="21"/>
                <w:highlight w:val="none"/>
              </w:rPr>
            </w:pPr>
          </w:p>
        </w:tc>
      </w:tr>
      <w:tr w14:paraId="76DB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9248" w:type="dxa"/>
            <w:gridSpan w:val="4"/>
            <w:vAlign w:val="center"/>
          </w:tcPr>
          <w:p w14:paraId="118B64DE">
            <w:pPr>
              <w:spacing w:line="240" w:lineRule="auto"/>
              <w:rPr>
                <w:rFonts w:hAnsi="宋体" w:cs="宋体"/>
                <w:color w:val="auto"/>
                <w:highlight w:val="none"/>
              </w:rPr>
            </w:pPr>
            <w:r>
              <w:rPr>
                <w:rFonts w:hint="eastAsia" w:hAnsi="宋体" w:cs="宋体"/>
                <w:color w:val="auto"/>
                <w:highlight w:val="none"/>
              </w:rPr>
              <w:t>备注：</w:t>
            </w:r>
          </w:p>
          <w:p w14:paraId="335F1241">
            <w:pPr>
              <w:spacing w:line="240" w:lineRule="auto"/>
              <w:rPr>
                <w:rFonts w:ascii="宋体" w:hAnsi="宋体" w:cs="宋体"/>
                <w:color w:val="auto"/>
                <w:szCs w:val="21"/>
                <w:highlight w:val="none"/>
              </w:rPr>
            </w:pPr>
            <w:r>
              <w:rPr>
                <w:rFonts w:hint="eastAsia" w:ascii="宋体" w:hAnsi="宋体" w:cs="宋体"/>
                <w:color w:val="auto"/>
                <w:szCs w:val="21"/>
                <w:highlight w:val="none"/>
              </w:rPr>
              <w:t>报</w:t>
            </w:r>
            <w:r>
              <w:rPr>
                <w:rFonts w:ascii="宋体" w:hAnsi="宋体" w:cs="宋体"/>
                <w:color w:val="auto"/>
                <w:szCs w:val="21"/>
                <w:highlight w:val="none"/>
              </w:rPr>
              <w:t>价为</w:t>
            </w:r>
            <w:r>
              <w:rPr>
                <w:rFonts w:hint="eastAsia" w:ascii="宋体" w:hAnsi="宋体" w:cs="宋体"/>
                <w:color w:val="auto"/>
                <w:szCs w:val="21"/>
                <w:highlight w:val="none"/>
              </w:rPr>
              <w:t>完成采购需求要求的所有费用</w:t>
            </w:r>
            <w:r>
              <w:rPr>
                <w:rFonts w:ascii="宋体" w:hAnsi="宋体" w:cs="宋体"/>
                <w:color w:val="auto"/>
                <w:szCs w:val="21"/>
                <w:highlight w:val="none"/>
              </w:rPr>
              <w:t>，包括但不限于：</w:t>
            </w:r>
          </w:p>
          <w:p w14:paraId="3FDB94D7">
            <w:pPr>
              <w:spacing w:line="240" w:lineRule="auto"/>
              <w:rPr>
                <w:rFonts w:ascii="宋体" w:hAnsi="宋体" w:cs="宋体"/>
                <w:color w:val="auto"/>
                <w:szCs w:val="21"/>
                <w:highlight w:val="none"/>
              </w:rPr>
            </w:pPr>
            <w:r>
              <w:rPr>
                <w:rFonts w:hint="eastAsia" w:ascii="宋体" w:hAnsi="宋体" w:cs="宋体"/>
                <w:color w:val="auto"/>
                <w:szCs w:val="21"/>
                <w:highlight w:val="none"/>
              </w:rPr>
              <w:t>（1）服务的价格：</w:t>
            </w:r>
          </w:p>
          <w:p w14:paraId="52277E07">
            <w:pPr>
              <w:spacing w:line="240" w:lineRule="auto"/>
              <w:rPr>
                <w:rFonts w:ascii="宋体" w:hAnsi="宋体" w:cs="宋体"/>
                <w:color w:val="auto"/>
                <w:szCs w:val="21"/>
                <w:highlight w:val="none"/>
              </w:rPr>
            </w:pPr>
            <w:r>
              <w:rPr>
                <w:rFonts w:hint="eastAsia" w:ascii="宋体" w:hAnsi="宋体" w:cs="宋体"/>
                <w:color w:val="auto"/>
                <w:szCs w:val="21"/>
                <w:highlight w:val="none"/>
              </w:rPr>
              <w:t>（2）必要的保险费用和各项税金；</w:t>
            </w:r>
          </w:p>
          <w:p w14:paraId="70E49484">
            <w:pPr>
              <w:spacing w:line="240" w:lineRule="auto"/>
              <w:rPr>
                <w:rFonts w:ascii="宋体" w:hAnsi="宋体" w:cs="宋体"/>
                <w:color w:val="auto"/>
                <w:szCs w:val="21"/>
                <w:highlight w:val="none"/>
              </w:rPr>
            </w:pPr>
            <w:r>
              <w:rPr>
                <w:rFonts w:hint="eastAsia" w:ascii="宋体" w:hAnsi="宋体" w:cs="宋体"/>
                <w:color w:val="auto"/>
                <w:szCs w:val="21"/>
                <w:highlight w:val="none"/>
              </w:rPr>
              <w:t>（3）项目验收的费用；</w:t>
            </w:r>
          </w:p>
          <w:p w14:paraId="1D1A1676">
            <w:pPr>
              <w:spacing w:line="240" w:lineRule="auto"/>
              <w:rPr>
                <w:rFonts w:hAnsi="宋体" w:cs="宋体"/>
                <w:color w:val="auto"/>
                <w:highlight w:val="none"/>
              </w:rPr>
            </w:pPr>
            <w:r>
              <w:rPr>
                <w:rFonts w:hint="eastAsia" w:ascii="宋体" w:hAnsi="宋体" w:cs="宋体"/>
                <w:color w:val="auto"/>
                <w:szCs w:val="21"/>
                <w:highlight w:val="none"/>
              </w:rPr>
              <w:t>（4）提供技术支持、培训、售后服务费用等费用。</w:t>
            </w:r>
          </w:p>
        </w:tc>
      </w:tr>
    </w:tbl>
    <w:p w14:paraId="2904AA9B">
      <w:pPr>
        <w:pStyle w:val="27"/>
        <w:spacing w:line="360" w:lineRule="exact"/>
        <w:rPr>
          <w:rFonts w:hAnsi="宋体"/>
          <w:color w:val="auto"/>
          <w:sz w:val="21"/>
          <w:highlight w:val="none"/>
        </w:rPr>
      </w:pPr>
    </w:p>
    <w:p w14:paraId="47D82E81">
      <w:pPr>
        <w:pStyle w:val="27"/>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2E864AE1">
      <w:pPr>
        <w:pStyle w:val="27"/>
        <w:spacing w:line="400" w:lineRule="exact"/>
        <w:rPr>
          <w:rFonts w:hAnsi="宋体"/>
          <w:color w:val="auto"/>
          <w:sz w:val="21"/>
          <w:highlight w:val="none"/>
          <w:u w:val="single"/>
        </w:rPr>
      </w:pPr>
    </w:p>
    <w:p w14:paraId="3399F41F">
      <w:pPr>
        <w:pStyle w:val="27"/>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391B9AE6">
      <w:pPr>
        <w:pStyle w:val="27"/>
        <w:spacing w:line="480" w:lineRule="exact"/>
        <w:rPr>
          <w:rFonts w:hAnsi="宋体"/>
          <w:color w:val="auto"/>
          <w:sz w:val="21"/>
          <w:highlight w:val="none"/>
          <w:u w:val="single"/>
        </w:rPr>
      </w:pPr>
    </w:p>
    <w:p w14:paraId="28081807">
      <w:pPr>
        <w:pStyle w:val="27"/>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454EE4F5">
      <w:pPr>
        <w:spacing w:line="360" w:lineRule="exact"/>
        <w:jc w:val="center"/>
        <w:rPr>
          <w:rFonts w:ascii="宋体" w:hAnsi="宋体"/>
          <w:b/>
          <w:color w:val="auto"/>
          <w:sz w:val="30"/>
          <w:highlight w:val="none"/>
        </w:rPr>
      </w:pPr>
      <w:bookmarkStart w:id="43" w:name="_Toc356979893"/>
      <w:bookmarkStart w:id="44" w:name="_Toc356165644"/>
    </w:p>
    <w:p w14:paraId="17D9B19F">
      <w:pPr>
        <w:spacing w:line="360" w:lineRule="exact"/>
        <w:jc w:val="center"/>
        <w:rPr>
          <w:rFonts w:ascii="宋体" w:hAnsi="宋体"/>
          <w:b/>
          <w:color w:val="auto"/>
          <w:sz w:val="30"/>
          <w:highlight w:val="none"/>
        </w:rPr>
      </w:pPr>
    </w:p>
    <w:p w14:paraId="2B829FF2">
      <w:pPr>
        <w:spacing w:line="360" w:lineRule="exact"/>
        <w:jc w:val="center"/>
        <w:rPr>
          <w:rFonts w:ascii="宋体" w:hAnsi="宋体"/>
          <w:b/>
          <w:color w:val="auto"/>
          <w:sz w:val="30"/>
          <w:highlight w:val="none"/>
        </w:rPr>
      </w:pPr>
    </w:p>
    <w:p w14:paraId="41D0322F">
      <w:pPr>
        <w:spacing w:line="360" w:lineRule="exact"/>
        <w:jc w:val="center"/>
        <w:rPr>
          <w:rFonts w:ascii="宋体" w:hAnsi="宋体"/>
          <w:b/>
          <w:color w:val="auto"/>
          <w:sz w:val="30"/>
          <w:highlight w:val="none"/>
        </w:rPr>
      </w:pPr>
    </w:p>
    <w:p w14:paraId="2904DC0B">
      <w:pPr>
        <w:spacing w:line="360" w:lineRule="exact"/>
        <w:jc w:val="center"/>
        <w:rPr>
          <w:rFonts w:ascii="宋体" w:hAnsi="宋体"/>
          <w:b/>
          <w:color w:val="auto"/>
          <w:sz w:val="30"/>
          <w:highlight w:val="none"/>
        </w:rPr>
      </w:pPr>
    </w:p>
    <w:p w14:paraId="6961693E">
      <w:pPr>
        <w:spacing w:line="360" w:lineRule="exact"/>
        <w:jc w:val="center"/>
        <w:rPr>
          <w:rFonts w:ascii="宋体" w:hAnsi="宋体"/>
          <w:b/>
          <w:color w:val="auto"/>
          <w:sz w:val="30"/>
          <w:highlight w:val="none"/>
        </w:rPr>
      </w:pPr>
    </w:p>
    <w:p w14:paraId="2259F80F">
      <w:pPr>
        <w:spacing w:line="360" w:lineRule="exact"/>
        <w:jc w:val="center"/>
        <w:rPr>
          <w:rFonts w:ascii="宋体" w:hAnsi="宋体"/>
          <w:b/>
          <w:color w:val="auto"/>
          <w:sz w:val="30"/>
          <w:highlight w:val="none"/>
        </w:rPr>
      </w:pPr>
    </w:p>
    <w:p w14:paraId="192E56DF">
      <w:pPr>
        <w:spacing w:line="360" w:lineRule="exact"/>
        <w:jc w:val="center"/>
        <w:rPr>
          <w:rFonts w:ascii="宋体" w:hAnsi="宋体"/>
          <w:b/>
          <w:color w:val="auto"/>
          <w:sz w:val="30"/>
          <w:highlight w:val="none"/>
        </w:rPr>
      </w:pPr>
    </w:p>
    <w:p w14:paraId="7695380A">
      <w:pPr>
        <w:spacing w:line="360" w:lineRule="exact"/>
        <w:jc w:val="center"/>
        <w:rPr>
          <w:rFonts w:ascii="宋体" w:hAnsi="宋体"/>
          <w:b/>
          <w:color w:val="auto"/>
          <w:sz w:val="30"/>
          <w:highlight w:val="none"/>
        </w:rPr>
      </w:pPr>
    </w:p>
    <w:p w14:paraId="148AE662">
      <w:pPr>
        <w:pStyle w:val="27"/>
        <w:spacing w:line="520" w:lineRule="exact"/>
        <w:jc w:val="center"/>
        <w:rPr>
          <w:rFonts w:hAnsi="宋体" w:cs="宋体;SimSun"/>
          <w:b/>
          <w:bCs/>
          <w:color w:val="auto"/>
          <w:sz w:val="32"/>
          <w:szCs w:val="32"/>
          <w:highlight w:val="none"/>
        </w:rPr>
      </w:pPr>
    </w:p>
    <w:p w14:paraId="5FC0F0A4">
      <w:pPr>
        <w:pStyle w:val="27"/>
        <w:spacing w:line="520" w:lineRule="exact"/>
        <w:jc w:val="center"/>
        <w:rPr>
          <w:rFonts w:hAnsi="宋体" w:cs="宋体"/>
          <w:b/>
          <w:bCs/>
          <w:color w:val="auto"/>
          <w:sz w:val="28"/>
          <w:szCs w:val="28"/>
          <w:highlight w:val="none"/>
        </w:rPr>
      </w:pPr>
      <w:r>
        <w:rPr>
          <w:rFonts w:hint="eastAsia" w:hAnsi="宋体" w:cs="宋体;SimSun"/>
          <w:b/>
          <w:bCs/>
          <w:color w:val="auto"/>
          <w:sz w:val="32"/>
          <w:szCs w:val="32"/>
          <w:highlight w:val="none"/>
        </w:rPr>
        <w:t>技术偏离表（格式）</w:t>
      </w:r>
    </w:p>
    <w:p w14:paraId="2457D6B2">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5C5A6182">
      <w:pPr>
        <w:spacing w:line="300" w:lineRule="auto"/>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Cs/>
          <w:color w:val="auto"/>
          <w:szCs w:val="21"/>
          <w:highlight w:val="none"/>
          <w:u w:val="single"/>
        </w:rPr>
        <w:t xml:space="preserve">                   </w:t>
      </w:r>
      <w:r>
        <w:rPr>
          <w:rFonts w:hint="eastAsia" w:ascii="宋体" w:hAnsi="宋体"/>
          <w:b/>
          <w:color w:val="auto"/>
          <w:szCs w:val="21"/>
          <w:highlight w:val="none"/>
          <w:u w:val="single"/>
        </w:rPr>
        <w:t xml:space="preserve"> </w:t>
      </w:r>
    </w:p>
    <w:p w14:paraId="0A4785ED">
      <w:pPr>
        <w:spacing w:line="300" w:lineRule="auto"/>
        <w:rPr>
          <w:rFonts w:ascii="宋体" w:hAnsi="宋体"/>
          <w:b/>
          <w:bCs/>
          <w:color w:val="auto"/>
          <w:szCs w:val="21"/>
          <w:highlight w:val="none"/>
        </w:rPr>
      </w:pPr>
      <w:r>
        <w:rPr>
          <w:rFonts w:hint="eastAsia" w:ascii="宋体" w:hAnsi="宋体"/>
          <w:b/>
          <w:bCs/>
          <w:color w:val="auto"/>
          <w:szCs w:val="21"/>
          <w:highlight w:val="none"/>
        </w:rPr>
        <w:t>标项名称 :</w:t>
      </w:r>
      <w:r>
        <w:rPr>
          <w:rFonts w:hint="eastAsia" w:ascii="宋体" w:hAnsi="宋体"/>
          <w:b/>
          <w:bCs/>
          <w:color w:val="auto"/>
          <w:szCs w:val="21"/>
          <w:highlight w:val="none"/>
          <w:u w:val="single"/>
        </w:rPr>
        <w:t xml:space="preserve">                    </w:t>
      </w:r>
    </w:p>
    <w:p w14:paraId="12F20366">
      <w:pPr>
        <w:pStyle w:val="27"/>
        <w:spacing w:line="400" w:lineRule="exact"/>
        <w:rPr>
          <w:rFonts w:hAnsi="宋体"/>
          <w:color w:val="auto"/>
          <w:sz w:val="21"/>
          <w:highlight w:val="none"/>
        </w:rPr>
      </w:pPr>
      <w:r>
        <w:rPr>
          <w:rFonts w:hint="eastAsia" w:hAnsi="宋体" w:cs="宋体;SimSun"/>
          <w:color w:val="auto"/>
          <w:sz w:val="21"/>
          <w:highlight w:val="none"/>
        </w:rPr>
        <w:t>请根据所投服务的实际参数，逐条对应本项目磋商文件第三章“项目需求一览表”中的项目要求及技术需求认真填写该表。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tbl>
      <w:tblPr>
        <w:tblStyle w:val="54"/>
        <w:tblW w:w="9571" w:type="dxa"/>
        <w:jc w:val="center"/>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29"/>
        <w:gridCol w:w="3423"/>
        <w:gridCol w:w="4128"/>
        <w:gridCol w:w="1391"/>
      </w:tblGrid>
      <w:tr w14:paraId="390320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cantSplit/>
          <w:trHeight w:val="1182" w:hRule="atLeast"/>
          <w:jc w:val="center"/>
        </w:trPr>
        <w:tc>
          <w:tcPr>
            <w:tcW w:w="629" w:type="dxa"/>
            <w:tcMar>
              <w:left w:w="103" w:type="dxa"/>
            </w:tcMar>
            <w:vAlign w:val="center"/>
          </w:tcPr>
          <w:p w14:paraId="75D83316">
            <w:pPr>
              <w:pStyle w:val="27"/>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3423" w:type="dxa"/>
            <w:tcBorders>
              <w:left w:val="single" w:color="000000" w:sz="4" w:space="0"/>
            </w:tcBorders>
            <w:tcMar>
              <w:left w:w="103" w:type="dxa"/>
            </w:tcMar>
            <w:vAlign w:val="center"/>
          </w:tcPr>
          <w:p w14:paraId="6E40AC6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磋商采购文件需求</w:t>
            </w:r>
          </w:p>
        </w:tc>
        <w:tc>
          <w:tcPr>
            <w:tcW w:w="4128" w:type="dxa"/>
            <w:tcBorders>
              <w:left w:val="single" w:color="000000" w:sz="4" w:space="0"/>
            </w:tcBorders>
            <w:tcMar>
              <w:left w:w="103" w:type="dxa"/>
            </w:tcMar>
            <w:vAlign w:val="center"/>
          </w:tcPr>
          <w:p w14:paraId="5DB632B4">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响应文件承诺</w:t>
            </w:r>
          </w:p>
        </w:tc>
        <w:tc>
          <w:tcPr>
            <w:tcW w:w="1391" w:type="dxa"/>
            <w:tcBorders>
              <w:left w:val="single" w:color="000000" w:sz="4" w:space="0"/>
              <w:right w:val="single" w:color="000000" w:sz="4" w:space="0"/>
            </w:tcBorders>
            <w:tcMar>
              <w:left w:w="103" w:type="dxa"/>
            </w:tcMar>
            <w:vAlign w:val="center"/>
          </w:tcPr>
          <w:p w14:paraId="7589925C">
            <w:pPr>
              <w:spacing w:line="400" w:lineRule="exact"/>
              <w:jc w:val="center"/>
              <w:rPr>
                <w:rFonts w:ascii="宋体" w:hAnsi="宋体" w:cs="宋体;SimSun"/>
                <w:color w:val="auto"/>
                <w:szCs w:val="21"/>
                <w:highlight w:val="none"/>
              </w:rPr>
            </w:pPr>
            <w:r>
              <w:rPr>
                <w:rFonts w:hint="eastAsia" w:ascii="宋体" w:hAnsi="宋体" w:cs="宋体;SimSun"/>
                <w:color w:val="auto"/>
                <w:szCs w:val="21"/>
                <w:highlight w:val="none"/>
              </w:rPr>
              <w:t>偏离说明</w:t>
            </w:r>
          </w:p>
        </w:tc>
      </w:tr>
      <w:tr w14:paraId="0CACC62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7F8C555">
            <w:pPr>
              <w:jc w:val="center"/>
              <w:textAlignment w:val="center"/>
              <w:rPr>
                <w:rFonts w:ascii="宋体" w:hAnsi="宋体"/>
                <w:color w:val="auto"/>
                <w:kern w:val="0"/>
                <w:szCs w:val="21"/>
                <w:highlight w:val="none"/>
              </w:rPr>
            </w:pPr>
            <w:r>
              <w:rPr>
                <w:rFonts w:ascii="宋体" w:hAnsi="宋体"/>
                <w:color w:val="auto"/>
                <w:kern w:val="0"/>
                <w:szCs w:val="21"/>
                <w:highlight w:val="none"/>
              </w:rPr>
              <w:t>1</w:t>
            </w:r>
          </w:p>
        </w:tc>
        <w:tc>
          <w:tcPr>
            <w:tcW w:w="3423" w:type="dxa"/>
            <w:tcBorders>
              <w:left w:val="single" w:color="000000" w:sz="4" w:space="0"/>
            </w:tcBorders>
            <w:tcMar>
              <w:left w:w="103" w:type="dxa"/>
            </w:tcMar>
            <w:vAlign w:val="center"/>
          </w:tcPr>
          <w:p w14:paraId="12C78B37">
            <w:pPr>
              <w:pStyle w:val="27"/>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D3AC73A">
            <w:pPr>
              <w:pStyle w:val="27"/>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2EBD3D7F">
            <w:pPr>
              <w:pStyle w:val="27"/>
              <w:snapToGrid w:val="0"/>
              <w:spacing w:line="400" w:lineRule="exact"/>
              <w:jc w:val="center"/>
              <w:rPr>
                <w:rFonts w:hAnsi="宋体"/>
                <w:color w:val="auto"/>
                <w:sz w:val="21"/>
                <w:highlight w:val="none"/>
              </w:rPr>
            </w:pPr>
          </w:p>
        </w:tc>
      </w:tr>
      <w:tr w14:paraId="4A23C060">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4E5197CF">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2</w:t>
            </w:r>
          </w:p>
        </w:tc>
        <w:tc>
          <w:tcPr>
            <w:tcW w:w="3423" w:type="dxa"/>
            <w:tcBorders>
              <w:left w:val="single" w:color="000000" w:sz="4" w:space="0"/>
            </w:tcBorders>
            <w:tcMar>
              <w:left w:w="103" w:type="dxa"/>
            </w:tcMar>
            <w:vAlign w:val="center"/>
          </w:tcPr>
          <w:p w14:paraId="3FAB1113">
            <w:pPr>
              <w:pStyle w:val="27"/>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55F2764C">
            <w:pPr>
              <w:pStyle w:val="27"/>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664B7B0B">
            <w:pPr>
              <w:pStyle w:val="27"/>
              <w:snapToGrid w:val="0"/>
              <w:spacing w:line="400" w:lineRule="exact"/>
              <w:jc w:val="center"/>
              <w:rPr>
                <w:rFonts w:hAnsi="宋体"/>
                <w:color w:val="auto"/>
                <w:sz w:val="21"/>
                <w:highlight w:val="none"/>
              </w:rPr>
            </w:pPr>
          </w:p>
        </w:tc>
      </w:tr>
      <w:tr w14:paraId="4B13BCE4">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73781053">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3</w:t>
            </w:r>
          </w:p>
        </w:tc>
        <w:tc>
          <w:tcPr>
            <w:tcW w:w="3423" w:type="dxa"/>
            <w:tcBorders>
              <w:left w:val="single" w:color="000000" w:sz="4" w:space="0"/>
            </w:tcBorders>
            <w:tcMar>
              <w:left w:w="103" w:type="dxa"/>
            </w:tcMar>
            <w:vAlign w:val="center"/>
          </w:tcPr>
          <w:p w14:paraId="10C5E650">
            <w:pPr>
              <w:pStyle w:val="27"/>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73CC8627">
            <w:pPr>
              <w:pStyle w:val="27"/>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4A420FF6">
            <w:pPr>
              <w:pStyle w:val="27"/>
              <w:snapToGrid w:val="0"/>
              <w:spacing w:line="400" w:lineRule="exact"/>
              <w:jc w:val="center"/>
              <w:rPr>
                <w:rFonts w:hAnsi="宋体"/>
                <w:color w:val="auto"/>
                <w:sz w:val="21"/>
                <w:highlight w:val="none"/>
              </w:rPr>
            </w:pPr>
          </w:p>
        </w:tc>
      </w:tr>
      <w:tr w14:paraId="0963E8B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jc w:val="center"/>
        </w:trPr>
        <w:tc>
          <w:tcPr>
            <w:tcW w:w="629" w:type="dxa"/>
            <w:tcMar>
              <w:left w:w="103" w:type="dxa"/>
            </w:tcMar>
            <w:vAlign w:val="center"/>
          </w:tcPr>
          <w:p w14:paraId="1F589811">
            <w:pPr>
              <w:jc w:val="center"/>
              <w:textAlignment w:val="center"/>
              <w:rPr>
                <w:rFonts w:ascii="宋体" w:hAnsi="宋体"/>
                <w:color w:val="auto"/>
                <w:kern w:val="0"/>
                <w:szCs w:val="21"/>
                <w:highlight w:val="none"/>
              </w:rPr>
            </w:pPr>
            <w:r>
              <w:rPr>
                <w:rFonts w:hint="eastAsia" w:ascii="宋体" w:hAnsi="宋体"/>
                <w:color w:val="auto"/>
                <w:kern w:val="0"/>
                <w:szCs w:val="21"/>
                <w:highlight w:val="none"/>
              </w:rPr>
              <w:t>...</w:t>
            </w:r>
          </w:p>
        </w:tc>
        <w:tc>
          <w:tcPr>
            <w:tcW w:w="3423" w:type="dxa"/>
            <w:tcBorders>
              <w:left w:val="single" w:color="000000" w:sz="4" w:space="0"/>
            </w:tcBorders>
            <w:tcMar>
              <w:left w:w="103" w:type="dxa"/>
            </w:tcMar>
            <w:vAlign w:val="center"/>
          </w:tcPr>
          <w:p w14:paraId="54522159">
            <w:pPr>
              <w:pStyle w:val="27"/>
              <w:snapToGrid w:val="0"/>
              <w:spacing w:line="400" w:lineRule="exact"/>
              <w:jc w:val="center"/>
              <w:rPr>
                <w:rFonts w:hAnsi="宋体"/>
                <w:color w:val="auto"/>
                <w:sz w:val="21"/>
                <w:highlight w:val="none"/>
              </w:rPr>
            </w:pPr>
          </w:p>
        </w:tc>
        <w:tc>
          <w:tcPr>
            <w:tcW w:w="4128" w:type="dxa"/>
            <w:tcBorders>
              <w:left w:val="single" w:color="000000" w:sz="4" w:space="0"/>
            </w:tcBorders>
            <w:tcMar>
              <w:left w:w="103" w:type="dxa"/>
            </w:tcMar>
            <w:vAlign w:val="center"/>
          </w:tcPr>
          <w:p w14:paraId="2F1A2AFF">
            <w:pPr>
              <w:pStyle w:val="27"/>
              <w:snapToGrid w:val="0"/>
              <w:spacing w:line="400" w:lineRule="exact"/>
              <w:jc w:val="center"/>
              <w:rPr>
                <w:rFonts w:hAnsi="宋体"/>
                <w:color w:val="auto"/>
                <w:sz w:val="21"/>
                <w:highlight w:val="none"/>
              </w:rPr>
            </w:pPr>
          </w:p>
        </w:tc>
        <w:tc>
          <w:tcPr>
            <w:tcW w:w="1391" w:type="dxa"/>
            <w:tcBorders>
              <w:left w:val="single" w:color="000000" w:sz="4" w:space="0"/>
              <w:right w:val="single" w:color="000000" w:sz="4" w:space="0"/>
            </w:tcBorders>
            <w:tcMar>
              <w:left w:w="103" w:type="dxa"/>
            </w:tcMar>
            <w:vAlign w:val="center"/>
          </w:tcPr>
          <w:p w14:paraId="581134C1">
            <w:pPr>
              <w:pStyle w:val="27"/>
              <w:snapToGrid w:val="0"/>
              <w:spacing w:line="400" w:lineRule="exact"/>
              <w:jc w:val="center"/>
              <w:rPr>
                <w:rFonts w:hAnsi="宋体"/>
                <w:color w:val="auto"/>
                <w:sz w:val="21"/>
                <w:highlight w:val="none"/>
              </w:rPr>
            </w:pPr>
          </w:p>
        </w:tc>
      </w:tr>
    </w:tbl>
    <w:p w14:paraId="22E7F99F">
      <w:pPr>
        <w:pStyle w:val="27"/>
        <w:spacing w:line="400" w:lineRule="exact"/>
        <w:rPr>
          <w:rFonts w:hAnsi="宋体"/>
          <w:color w:val="auto"/>
          <w:sz w:val="21"/>
          <w:highlight w:val="none"/>
        </w:rPr>
      </w:pPr>
      <w:r>
        <w:rPr>
          <w:rFonts w:hint="eastAsia" w:hAnsi="宋体"/>
          <w:color w:val="auto"/>
          <w:sz w:val="21"/>
          <w:highlight w:val="none"/>
        </w:rPr>
        <w:t>注：供应商应根据竞标服务承诺对照磋商文件要求在“偏离说明”栏注明“正偏离”、“负偏离”或“无偏离”。</w:t>
      </w:r>
    </w:p>
    <w:p w14:paraId="731350F6">
      <w:pPr>
        <w:pStyle w:val="27"/>
        <w:spacing w:line="400" w:lineRule="exact"/>
        <w:rPr>
          <w:rFonts w:hAnsi="宋体" w:cs="宋体;SimSun"/>
          <w:color w:val="auto"/>
          <w:sz w:val="21"/>
          <w:highlight w:val="none"/>
          <w:u w:val="single"/>
        </w:rPr>
      </w:pPr>
    </w:p>
    <w:p w14:paraId="01500775">
      <w:pPr>
        <w:pStyle w:val="27"/>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403B449E">
      <w:pPr>
        <w:pStyle w:val="27"/>
        <w:spacing w:line="400" w:lineRule="exact"/>
        <w:rPr>
          <w:rFonts w:hAnsi="宋体"/>
          <w:color w:val="auto"/>
          <w:sz w:val="21"/>
          <w:highlight w:val="none"/>
          <w:u w:val="single"/>
        </w:rPr>
      </w:pPr>
    </w:p>
    <w:p w14:paraId="373B4D34">
      <w:pPr>
        <w:pStyle w:val="27"/>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1635D6D2">
      <w:pPr>
        <w:pStyle w:val="27"/>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5C96E3F8">
      <w:pPr>
        <w:pStyle w:val="27"/>
        <w:spacing w:line="240" w:lineRule="auto"/>
        <w:jc w:val="center"/>
        <w:rPr>
          <w:rFonts w:ascii="Times New Roman" w:hAnsi="Times New Roman"/>
          <w:b/>
          <w:color w:val="auto"/>
          <w:sz w:val="32"/>
          <w:szCs w:val="32"/>
          <w:highlight w:val="none"/>
        </w:rPr>
      </w:pPr>
      <w:r>
        <w:rPr>
          <w:rFonts w:hAnsi="宋体" w:cs="宋体;SimSun"/>
          <w:b/>
          <w:bCs/>
          <w:color w:val="auto"/>
          <w:sz w:val="30"/>
          <w:szCs w:val="30"/>
          <w:highlight w:val="none"/>
        </w:rPr>
        <w:br w:type="page"/>
      </w:r>
      <w:r>
        <w:rPr>
          <w:rFonts w:hint="eastAsia" w:ascii="Times New Roman" w:hAnsi="Times New Roman"/>
          <w:b/>
          <w:color w:val="auto"/>
          <w:sz w:val="32"/>
          <w:szCs w:val="32"/>
          <w:highlight w:val="none"/>
        </w:rPr>
        <w:t>信用声明函（格式）</w:t>
      </w:r>
    </w:p>
    <w:p w14:paraId="54C95EB3">
      <w:pPr>
        <w:pStyle w:val="27"/>
        <w:jc w:val="center"/>
        <w:rPr>
          <w:rFonts w:ascii="Times New Roman" w:hAnsi="Times New Roman"/>
          <w:b/>
          <w:color w:val="auto"/>
          <w:sz w:val="30"/>
          <w:szCs w:val="30"/>
          <w:highlight w:val="none"/>
        </w:rPr>
      </w:pPr>
    </w:p>
    <w:p w14:paraId="2DECAACC">
      <w:pPr>
        <w:tabs>
          <w:tab w:val="left" w:pos="7200"/>
        </w:tabs>
        <w:spacing w:line="360" w:lineRule="auto"/>
        <w:rPr>
          <w:rFonts w:hAnsi="宋体"/>
          <w:color w:val="auto"/>
          <w:highlight w:val="none"/>
        </w:rPr>
      </w:pPr>
      <w:r>
        <w:rPr>
          <w:rFonts w:hint="eastAsia" w:hAnsi="宋体"/>
          <w:color w:val="auto"/>
          <w:highlight w:val="none"/>
        </w:rPr>
        <w:t>致：</w:t>
      </w:r>
      <w:r>
        <w:rPr>
          <w:rFonts w:hAnsi="宋体"/>
          <w:color w:val="auto"/>
          <w:highlight w:val="none"/>
          <w:u w:val="single"/>
        </w:rPr>
        <w:t xml:space="preserve">                     </w:t>
      </w:r>
      <w:r>
        <w:rPr>
          <w:rFonts w:hint="eastAsia" w:hAnsi="宋体"/>
          <w:color w:val="auto"/>
          <w:highlight w:val="none"/>
        </w:rPr>
        <w:t>（采购代理机构名称）</w:t>
      </w:r>
    </w:p>
    <w:p w14:paraId="2321835A">
      <w:pPr>
        <w:tabs>
          <w:tab w:val="left" w:pos="7200"/>
        </w:tabs>
        <w:spacing w:line="360" w:lineRule="auto"/>
        <w:ind w:firstLine="420" w:firstLineChars="200"/>
        <w:rPr>
          <w:rFonts w:hAnsi="宋体"/>
          <w:color w:val="auto"/>
          <w:highlight w:val="none"/>
        </w:rPr>
      </w:pPr>
      <w:r>
        <w:rPr>
          <w:rFonts w:hint="eastAsia" w:hAnsi="宋体"/>
          <w:color w:val="auto"/>
          <w:highlight w:val="none"/>
        </w:rPr>
        <w:t>我方愿意参加贵方组织的</w:t>
      </w:r>
      <w:r>
        <w:rPr>
          <w:rFonts w:hAnsi="宋体"/>
          <w:color w:val="auto"/>
          <w:highlight w:val="none"/>
        </w:rPr>
        <w:t>_</w:t>
      </w:r>
      <w:r>
        <w:rPr>
          <w:rFonts w:hint="eastAsia" w:hAnsi="宋体"/>
          <w:color w:val="auto"/>
          <w:highlight w:val="none"/>
          <w:u w:val="single"/>
          <w:lang w:eastAsia="zh-CN"/>
        </w:rPr>
        <w:t>基于超短波监测管理一体化平台的基础平台符合性测试和互联互通测试服务</w:t>
      </w:r>
      <w:r>
        <w:rPr>
          <w:rFonts w:hint="eastAsia" w:hAnsi="宋体"/>
          <w:color w:val="auto"/>
          <w:highlight w:val="none"/>
        </w:rPr>
        <w:t>（项目编号：</w:t>
      </w:r>
      <w:r>
        <w:rPr>
          <w:rFonts w:hAnsi="宋体"/>
          <w:color w:val="auto"/>
          <w:highlight w:val="none"/>
          <w:u w:val="single"/>
        </w:rPr>
        <w:t xml:space="preserve">   </w:t>
      </w:r>
      <w:r>
        <w:rPr>
          <w:rFonts w:hint="eastAsia" w:hAnsi="宋体"/>
          <w:color w:val="auto"/>
          <w:highlight w:val="none"/>
          <w:u w:val="single"/>
        </w:rPr>
        <w:t xml:space="preserve">   </w:t>
      </w:r>
      <w:r>
        <w:rPr>
          <w:rFonts w:hint="eastAsia" w:hAnsi="宋体"/>
          <w:color w:val="auto"/>
          <w:highlight w:val="none"/>
        </w:rPr>
        <w:t>）项目的</w:t>
      </w:r>
      <w:r>
        <w:rPr>
          <w:rFonts w:hint="eastAsia" w:hAnsi="宋体"/>
          <w:color w:val="auto"/>
          <w:highlight w:val="none"/>
          <w:lang w:eastAsia="zh-CN"/>
        </w:rPr>
        <w:t>竞标</w:t>
      </w:r>
      <w:r>
        <w:rPr>
          <w:rFonts w:hint="eastAsia" w:hAnsi="宋体"/>
          <w:color w:val="auto"/>
          <w:highlight w:val="none"/>
        </w:rPr>
        <w:t>，为便于贵方公正、择优地确定成交人及其竞标服务成果和服务，我方就本次</w:t>
      </w:r>
      <w:r>
        <w:rPr>
          <w:rFonts w:hint="eastAsia" w:hAnsi="宋体"/>
          <w:color w:val="auto"/>
          <w:highlight w:val="none"/>
          <w:lang w:eastAsia="zh-CN"/>
        </w:rPr>
        <w:t>竞标</w:t>
      </w:r>
      <w:r>
        <w:rPr>
          <w:rFonts w:hint="eastAsia" w:hAnsi="宋体"/>
          <w:color w:val="auto"/>
          <w:highlight w:val="none"/>
        </w:rPr>
        <w:t>有关事项郑重声明如下：</w:t>
      </w:r>
    </w:p>
    <w:p w14:paraId="583EF660">
      <w:pPr>
        <w:tabs>
          <w:tab w:val="left" w:pos="7200"/>
        </w:tabs>
        <w:spacing w:line="360" w:lineRule="auto"/>
        <w:ind w:firstLine="420" w:firstLineChars="200"/>
        <w:rPr>
          <w:rFonts w:hAnsi="宋体"/>
          <w:color w:val="auto"/>
          <w:highlight w:val="none"/>
          <w:u w:val="single"/>
        </w:rPr>
      </w:pPr>
      <w:r>
        <w:rPr>
          <w:rFonts w:hAnsi="宋体"/>
          <w:color w:val="auto"/>
          <w:highlight w:val="none"/>
        </w:rPr>
        <w:t xml:space="preserve">1. </w:t>
      </w:r>
      <w:r>
        <w:rPr>
          <w:rFonts w:hint="eastAsia" w:hAnsi="宋体"/>
          <w:color w:val="auto"/>
          <w:highlight w:val="none"/>
        </w:rPr>
        <w:t>经查询，在“信用中国”和“中国政府采购网”网站我方未被列入失信被执行人、重大税收违法案件当事人名单、政府采购严重违法失信行为记录名单。</w:t>
      </w:r>
    </w:p>
    <w:p w14:paraId="0E359BA0">
      <w:pPr>
        <w:tabs>
          <w:tab w:val="left" w:pos="7200"/>
        </w:tabs>
        <w:spacing w:line="360" w:lineRule="auto"/>
        <w:ind w:firstLine="420" w:firstLineChars="200"/>
        <w:rPr>
          <w:rFonts w:hAnsi="宋体"/>
          <w:color w:val="auto"/>
          <w:highlight w:val="none"/>
        </w:rPr>
      </w:pPr>
      <w:r>
        <w:rPr>
          <w:rFonts w:hAnsi="宋体"/>
          <w:color w:val="auto"/>
          <w:highlight w:val="none"/>
        </w:rPr>
        <w:t xml:space="preserve">2. </w:t>
      </w:r>
      <w:r>
        <w:rPr>
          <w:rFonts w:hint="eastAsia" w:hAnsi="宋体"/>
          <w:color w:val="auto"/>
          <w:highlight w:val="none"/>
        </w:rPr>
        <w:t>以上事项如有虚假或隐瞒，我方愿意承担一切后果，并不再寻求任何旨在减轻或免除法律责任的辩解。</w:t>
      </w:r>
    </w:p>
    <w:p w14:paraId="09A4E041">
      <w:pPr>
        <w:tabs>
          <w:tab w:val="left" w:pos="7200"/>
        </w:tabs>
        <w:spacing w:line="360" w:lineRule="auto"/>
        <w:ind w:firstLine="835" w:firstLineChars="398"/>
        <w:rPr>
          <w:rFonts w:hAnsi="宋体"/>
          <w:color w:val="auto"/>
          <w:highlight w:val="none"/>
        </w:rPr>
      </w:pPr>
    </w:p>
    <w:p w14:paraId="5790DD95">
      <w:pPr>
        <w:tabs>
          <w:tab w:val="left" w:pos="7200"/>
        </w:tabs>
        <w:spacing w:line="360" w:lineRule="auto"/>
        <w:ind w:firstLine="835" w:firstLineChars="398"/>
        <w:rPr>
          <w:rFonts w:hAnsi="宋体"/>
          <w:color w:val="auto"/>
          <w:highlight w:val="none"/>
        </w:rPr>
      </w:pPr>
    </w:p>
    <w:p w14:paraId="0450FB97">
      <w:pPr>
        <w:tabs>
          <w:tab w:val="left" w:pos="7200"/>
        </w:tabs>
        <w:spacing w:line="360" w:lineRule="auto"/>
        <w:rPr>
          <w:rFonts w:hAnsi="Courier New"/>
          <w:color w:val="auto"/>
          <w:highlight w:val="none"/>
        </w:rPr>
      </w:pPr>
      <w:r>
        <w:rPr>
          <w:rFonts w:hint="eastAsia" w:hAnsi="Courier New"/>
          <w:color w:val="auto"/>
          <w:highlight w:val="none"/>
        </w:rPr>
        <w:t>说明：</w:t>
      </w:r>
    </w:p>
    <w:p w14:paraId="281614FE">
      <w:pPr>
        <w:spacing w:line="440" w:lineRule="exact"/>
        <w:ind w:firstLine="420" w:firstLineChars="200"/>
        <w:rPr>
          <w:rFonts w:hAnsi="Courier New"/>
          <w:color w:val="auto"/>
          <w:highlight w:val="none"/>
        </w:rPr>
      </w:pPr>
      <w:r>
        <w:rPr>
          <w:rFonts w:hAnsi="Courier New"/>
          <w:color w:val="auto"/>
          <w:highlight w:val="none"/>
        </w:rPr>
        <w:t>1.</w:t>
      </w:r>
      <w:r>
        <w:rPr>
          <w:rFonts w:hint="eastAsia" w:hAnsi="Courier New"/>
          <w:color w:val="auto"/>
          <w:highlight w:val="none"/>
        </w:rPr>
        <w:t>竞标人应当通过</w:t>
      </w:r>
      <w:r>
        <w:rPr>
          <w:rFonts w:hAnsi="Courier New"/>
          <w:color w:val="auto"/>
          <w:highlight w:val="none"/>
        </w:rPr>
        <w:t xml:space="preserve"> </w:t>
      </w:r>
      <w:r>
        <w:rPr>
          <w:rFonts w:hint="eastAsia" w:hAnsi="Courier New"/>
          <w:color w:val="auto"/>
          <w:highlight w:val="none"/>
        </w:rPr>
        <w:t>“信用中国”（</w:t>
      </w:r>
      <w:r>
        <w:rPr>
          <w:rFonts w:hAnsi="Courier New"/>
          <w:color w:val="auto"/>
          <w:highlight w:val="none"/>
        </w:rPr>
        <w:t>www.creditchina.gov.cn</w:t>
      </w:r>
      <w:r>
        <w:rPr>
          <w:rFonts w:hint="eastAsia" w:hAnsi="Courier New"/>
          <w:color w:val="auto"/>
          <w:highlight w:val="none"/>
        </w:rPr>
        <w:t>）和“中国政府采购网”网站（</w:t>
      </w:r>
      <w:r>
        <w:rPr>
          <w:rFonts w:hAnsi="Courier New"/>
          <w:color w:val="auto"/>
          <w:highlight w:val="none"/>
        </w:rPr>
        <w:t>www.ccgp.gov.cn</w:t>
      </w:r>
      <w:r>
        <w:rPr>
          <w:rFonts w:hint="eastAsia" w:hAnsi="Courier New"/>
          <w:color w:val="auto"/>
          <w:highlight w:val="none"/>
        </w:rPr>
        <w:t>）查询竞标人相关主体的信用记录。查询时间为本项目磋商公告发布之日起至竞标截止时间止中任意一天。对列入失信被执行人、重大税收违法案件当事人名单、政府采购严重违法失信行为记录名单的竞标人，将被拒绝参与本项目政府采购活动。</w:t>
      </w:r>
    </w:p>
    <w:p w14:paraId="526DD15A">
      <w:pPr>
        <w:spacing w:line="440" w:lineRule="exact"/>
        <w:ind w:firstLine="420" w:firstLineChars="200"/>
        <w:rPr>
          <w:rFonts w:hAnsi="Courier New"/>
          <w:color w:val="auto"/>
          <w:highlight w:val="none"/>
        </w:rPr>
      </w:pPr>
      <w:r>
        <w:rPr>
          <w:rFonts w:hAnsi="Courier New"/>
          <w:color w:val="auto"/>
          <w:highlight w:val="none"/>
        </w:rPr>
        <w:t>2.</w:t>
      </w:r>
      <w:r>
        <w:rPr>
          <w:rFonts w:hint="eastAsia" w:hAnsi="Courier New"/>
          <w:color w:val="auto"/>
          <w:highlight w:val="none"/>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AFBE141">
      <w:pPr>
        <w:spacing w:line="440" w:lineRule="exact"/>
        <w:ind w:firstLine="420" w:firstLineChars="200"/>
        <w:rPr>
          <w:rFonts w:hAnsi="Courier New"/>
          <w:color w:val="auto"/>
          <w:highlight w:val="none"/>
        </w:rPr>
      </w:pPr>
    </w:p>
    <w:p w14:paraId="16763CD3">
      <w:pPr>
        <w:pStyle w:val="27"/>
        <w:spacing w:line="600" w:lineRule="exact"/>
        <w:ind w:firstLine="3465" w:firstLineChars="1650"/>
        <w:rPr>
          <w:rFonts w:ascii="Times New Roman" w:hAnsi="Times New Roman"/>
          <w:color w:val="auto"/>
          <w:sz w:val="21"/>
          <w:highlight w:val="none"/>
          <w:u w:val="single"/>
        </w:rPr>
      </w:pPr>
      <w:r>
        <w:rPr>
          <w:rFonts w:hint="eastAsia" w:ascii="Times New Roman" w:hAnsi="Times New Roman"/>
          <w:color w:val="auto"/>
          <w:sz w:val="21"/>
          <w:highlight w:val="none"/>
        </w:rPr>
        <w:t>竞标人（盖单位公章）：</w:t>
      </w:r>
      <w:r>
        <w:rPr>
          <w:rFonts w:ascii="Times New Roman" w:hAnsi="Times New Roman"/>
          <w:color w:val="auto"/>
          <w:sz w:val="21"/>
          <w:highlight w:val="none"/>
          <w:u w:val="single"/>
        </w:rPr>
        <w:t xml:space="preserve">                                    </w:t>
      </w:r>
    </w:p>
    <w:p w14:paraId="29B499EA">
      <w:pPr>
        <w:pStyle w:val="27"/>
        <w:spacing w:line="500" w:lineRule="exact"/>
        <w:ind w:firstLine="3465" w:firstLineChars="1650"/>
        <w:rPr>
          <w:color w:val="auto"/>
          <w:sz w:val="21"/>
          <w:highlight w:val="none"/>
        </w:rPr>
      </w:pPr>
      <w:r>
        <w:rPr>
          <w:rFonts w:hint="eastAsia" w:ascii="Times New Roman" w:hAnsi="Times New Roman"/>
          <w:color w:val="auto"/>
          <w:sz w:val="21"/>
          <w:highlight w:val="none"/>
        </w:rPr>
        <w:t>法定代表人或其委托代理人（签字或盖章）：</w:t>
      </w:r>
      <w:r>
        <w:rPr>
          <w:rFonts w:ascii="Times New Roman" w:hAnsi="Times New Roman"/>
          <w:color w:val="auto"/>
          <w:sz w:val="21"/>
          <w:highlight w:val="none"/>
          <w:u w:val="single"/>
        </w:rPr>
        <w:t xml:space="preserve">                  </w:t>
      </w:r>
      <w:r>
        <w:rPr>
          <w:color w:val="auto"/>
          <w:sz w:val="21"/>
          <w:highlight w:val="none"/>
        </w:rPr>
        <w:t xml:space="preserve">        </w:t>
      </w:r>
    </w:p>
    <w:p w14:paraId="40EA1678">
      <w:pPr>
        <w:pStyle w:val="27"/>
        <w:spacing w:line="500" w:lineRule="exact"/>
        <w:ind w:firstLine="3465" w:firstLineChars="1650"/>
        <w:rPr>
          <w:color w:val="auto"/>
          <w:sz w:val="21"/>
          <w:highlight w:val="none"/>
        </w:rPr>
      </w:pPr>
      <w:r>
        <w:rPr>
          <w:color w:val="auto"/>
          <w:sz w:val="21"/>
          <w:highlight w:val="none"/>
        </w:rPr>
        <w:t xml:space="preserve">    </w:t>
      </w:r>
      <w:r>
        <w:rPr>
          <w:rFonts w:hint="eastAsia"/>
          <w:color w:val="auto"/>
          <w:sz w:val="21"/>
          <w:highlight w:val="none"/>
        </w:rPr>
        <w:t xml:space="preserve">       </w:t>
      </w:r>
      <w:r>
        <w:rPr>
          <w:color w:val="auto"/>
          <w:sz w:val="21"/>
          <w:highlight w:val="none"/>
        </w:rPr>
        <w:t xml:space="preserve">  </w:t>
      </w:r>
      <w:r>
        <w:rPr>
          <w:rFonts w:hint="eastAsia"/>
          <w:color w:val="auto"/>
          <w:sz w:val="21"/>
          <w:highlight w:val="none"/>
        </w:rPr>
        <w:t>年   月   日</w:t>
      </w:r>
    </w:p>
    <w:p w14:paraId="40B1D38D">
      <w:pPr>
        <w:spacing w:line="440" w:lineRule="exact"/>
        <w:ind w:firstLine="420" w:firstLineChars="200"/>
        <w:rPr>
          <w:rFonts w:hAnsi="Courier New"/>
          <w:color w:val="auto"/>
          <w:highlight w:val="none"/>
        </w:rPr>
      </w:pPr>
    </w:p>
    <w:p w14:paraId="49C8ACD3">
      <w:pPr>
        <w:pStyle w:val="27"/>
        <w:spacing w:line="440" w:lineRule="exact"/>
        <w:jc w:val="center"/>
        <w:rPr>
          <w:b/>
          <w:color w:val="auto"/>
          <w:sz w:val="32"/>
          <w:szCs w:val="32"/>
          <w:highlight w:val="none"/>
        </w:rPr>
      </w:pPr>
    </w:p>
    <w:p w14:paraId="56DF5B52">
      <w:pPr>
        <w:pStyle w:val="27"/>
        <w:spacing w:line="440" w:lineRule="exact"/>
        <w:jc w:val="center"/>
        <w:rPr>
          <w:b/>
          <w:color w:val="auto"/>
          <w:sz w:val="32"/>
          <w:szCs w:val="32"/>
          <w:highlight w:val="none"/>
        </w:rPr>
      </w:pPr>
    </w:p>
    <w:p w14:paraId="26144843">
      <w:pPr>
        <w:pStyle w:val="27"/>
        <w:spacing w:line="440" w:lineRule="exact"/>
        <w:jc w:val="center"/>
        <w:rPr>
          <w:b/>
          <w:color w:val="auto"/>
          <w:sz w:val="32"/>
          <w:szCs w:val="32"/>
          <w:highlight w:val="none"/>
        </w:rPr>
      </w:pPr>
    </w:p>
    <w:p w14:paraId="01CCF805">
      <w:pPr>
        <w:pStyle w:val="27"/>
        <w:spacing w:line="440" w:lineRule="exact"/>
        <w:jc w:val="center"/>
        <w:rPr>
          <w:b/>
          <w:color w:val="auto"/>
          <w:sz w:val="32"/>
          <w:szCs w:val="32"/>
          <w:highlight w:val="none"/>
        </w:rPr>
      </w:pPr>
    </w:p>
    <w:p w14:paraId="0B8B8E4D">
      <w:pPr>
        <w:pStyle w:val="27"/>
        <w:spacing w:line="440" w:lineRule="exact"/>
        <w:jc w:val="center"/>
        <w:rPr>
          <w:b/>
          <w:color w:val="auto"/>
          <w:sz w:val="32"/>
          <w:szCs w:val="32"/>
          <w:highlight w:val="none"/>
        </w:rPr>
      </w:pPr>
    </w:p>
    <w:p w14:paraId="26808DCD">
      <w:pPr>
        <w:spacing w:line="360" w:lineRule="exact"/>
        <w:jc w:val="center"/>
        <w:rPr>
          <w:rFonts w:ascii="宋体" w:hAnsi="宋体"/>
          <w:b/>
          <w:color w:val="auto"/>
          <w:sz w:val="30"/>
          <w:highlight w:val="none"/>
        </w:rPr>
      </w:pPr>
    </w:p>
    <w:p w14:paraId="22915E5A">
      <w:pPr>
        <w:spacing w:line="240" w:lineRule="auto"/>
        <w:jc w:val="center"/>
        <w:rPr>
          <w:b/>
          <w:bCs/>
          <w:color w:val="auto"/>
          <w:sz w:val="48"/>
          <w:szCs w:val="56"/>
          <w:highlight w:val="none"/>
        </w:rPr>
      </w:pPr>
      <w:r>
        <w:rPr>
          <w:b/>
          <w:bCs/>
          <w:color w:val="auto"/>
          <w:sz w:val="48"/>
          <w:szCs w:val="56"/>
          <w:highlight w:val="none"/>
        </w:rPr>
        <w:t>中小企业声明函（</w:t>
      </w:r>
      <w:r>
        <w:rPr>
          <w:rFonts w:hint="eastAsia"/>
          <w:b/>
          <w:bCs/>
          <w:color w:val="auto"/>
          <w:sz w:val="48"/>
          <w:szCs w:val="56"/>
          <w:highlight w:val="none"/>
        </w:rPr>
        <w:t>服务</w:t>
      </w:r>
      <w:r>
        <w:rPr>
          <w:b/>
          <w:bCs/>
          <w:color w:val="auto"/>
          <w:sz w:val="48"/>
          <w:szCs w:val="56"/>
          <w:highlight w:val="none"/>
        </w:rPr>
        <w:t>）</w:t>
      </w:r>
    </w:p>
    <w:p w14:paraId="2438CEB2">
      <w:pPr>
        <w:spacing w:line="360" w:lineRule="auto"/>
        <w:contextualSpacing/>
        <w:rPr>
          <w:rFonts w:ascii="宋体" w:hAnsi="宋体" w:cs="宋体"/>
          <w:b/>
          <w:bCs/>
          <w:color w:val="auto"/>
          <w:sz w:val="27"/>
          <w:szCs w:val="27"/>
          <w:highlight w:val="none"/>
        </w:rPr>
      </w:pPr>
    </w:p>
    <w:p w14:paraId="40374725">
      <w:pPr>
        <w:pStyle w:val="21"/>
        <w:spacing w:after="0" w:line="360" w:lineRule="auto"/>
        <w:ind w:left="-426" w:right="142" w:firstLine="640"/>
        <w:contextualSpacing/>
        <w:rPr>
          <w:rFonts w:ascii="宋体" w:hAnsi="宋体"/>
          <w:color w:val="auto"/>
          <w:szCs w:val="21"/>
          <w:highlight w:val="none"/>
        </w:rPr>
      </w:pPr>
      <w:r>
        <w:rPr>
          <w:rFonts w:ascii="宋体" w:hAnsi="宋体"/>
          <w:color w:val="auto"/>
          <w:szCs w:val="21"/>
          <w:highlight w:val="none"/>
        </w:rPr>
        <w:t>本公司（联合体）郑重声明，根据《政府采购促进中小企业发展管理办法》（财库﹝2020﹞46号）的规定，本公司（联合体）参加</w:t>
      </w:r>
      <w:r>
        <w:rPr>
          <w:rFonts w:ascii="宋体" w:hAnsi="宋体"/>
          <w:color w:val="auto"/>
          <w:szCs w:val="21"/>
          <w:highlight w:val="none"/>
          <w:u w:val="single"/>
        </w:rPr>
        <w:t>（单位名称）</w:t>
      </w:r>
      <w:r>
        <w:rPr>
          <w:rFonts w:ascii="宋体" w:hAnsi="宋体"/>
          <w:color w:val="auto"/>
          <w:szCs w:val="21"/>
          <w:highlight w:val="none"/>
        </w:rPr>
        <w:t>的</w:t>
      </w:r>
      <w:r>
        <w:rPr>
          <w:rFonts w:ascii="宋体" w:hAnsi="宋体"/>
          <w:color w:val="auto"/>
          <w:szCs w:val="21"/>
          <w:highlight w:val="none"/>
          <w:u w:val="single"/>
        </w:rPr>
        <w:t>（项目名称）</w:t>
      </w:r>
      <w:r>
        <w:rPr>
          <w:rFonts w:ascii="宋体" w:hAnsi="宋体"/>
          <w:color w:val="auto"/>
          <w:szCs w:val="21"/>
          <w:highlight w:val="none"/>
        </w:rPr>
        <w:t>采购活动，提供的</w:t>
      </w:r>
      <w:r>
        <w:rPr>
          <w:rFonts w:hint="eastAsia" w:ascii="宋体" w:hAnsi="宋体"/>
          <w:color w:val="auto"/>
          <w:szCs w:val="21"/>
          <w:highlight w:val="none"/>
        </w:rPr>
        <w:t>服务</w:t>
      </w:r>
      <w:r>
        <w:rPr>
          <w:rFonts w:ascii="宋体" w:hAnsi="宋体"/>
          <w:color w:val="auto"/>
          <w:szCs w:val="21"/>
          <w:highlight w:val="none"/>
        </w:rPr>
        <w:t>全部由符合政策要求的中小企业</w:t>
      </w:r>
      <w:r>
        <w:rPr>
          <w:rFonts w:hint="eastAsia" w:ascii="宋体" w:hAnsi="宋体"/>
          <w:color w:val="auto"/>
          <w:szCs w:val="21"/>
          <w:highlight w:val="none"/>
        </w:rPr>
        <w:t>承接</w:t>
      </w:r>
      <w:r>
        <w:rPr>
          <w:rFonts w:ascii="宋体" w:hAnsi="宋体"/>
          <w:color w:val="auto"/>
          <w:szCs w:val="21"/>
          <w:highlight w:val="none"/>
        </w:rPr>
        <w:t>。相关企业（含联合体中的中小企业、签订分包意向协议的中小企业）的具体情况如下：</w:t>
      </w:r>
    </w:p>
    <w:p w14:paraId="281CDC35">
      <w:pPr>
        <w:tabs>
          <w:tab w:val="left" w:pos="1384"/>
          <w:tab w:val="left" w:pos="4562"/>
          <w:tab w:val="left" w:pos="6803"/>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1.</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4A07CE44">
      <w:pPr>
        <w:tabs>
          <w:tab w:val="left" w:pos="1065"/>
          <w:tab w:val="left" w:pos="6477"/>
        </w:tabs>
        <w:spacing w:line="360" w:lineRule="auto"/>
        <w:ind w:left="-426" w:right="-58" w:firstLine="655"/>
        <w:contextualSpacing/>
        <w:rPr>
          <w:rFonts w:ascii="宋体" w:hAnsi="宋体"/>
          <w:color w:val="auto"/>
          <w:szCs w:val="21"/>
          <w:highlight w:val="none"/>
        </w:rPr>
      </w:pPr>
      <w:r>
        <w:rPr>
          <w:rFonts w:ascii="宋体" w:hAnsi="宋体"/>
          <w:color w:val="auto"/>
          <w:szCs w:val="21"/>
          <w:highlight w:val="none"/>
        </w:rPr>
        <w:t>2.</w:t>
      </w:r>
      <w:r>
        <w:rPr>
          <w:rFonts w:ascii="宋体" w:hAnsi="宋体"/>
          <w:color w:val="auto"/>
          <w:szCs w:val="21"/>
          <w:highlight w:val="none"/>
          <w:u w:val="single"/>
        </w:rPr>
        <w:t>（标的名称）</w:t>
      </w:r>
      <w:r>
        <w:rPr>
          <w:rFonts w:ascii="宋体" w:hAnsi="宋体"/>
          <w:color w:val="auto"/>
          <w:szCs w:val="21"/>
          <w:highlight w:val="none"/>
        </w:rPr>
        <w:t>，属于</w:t>
      </w:r>
      <w:r>
        <w:rPr>
          <w:rFonts w:ascii="宋体" w:hAnsi="宋体"/>
          <w:color w:val="auto"/>
          <w:szCs w:val="21"/>
          <w:highlight w:val="none"/>
          <w:u w:val="single"/>
        </w:rPr>
        <w:t>（采购文件中明确的所属行业）</w:t>
      </w:r>
      <w:r>
        <w:rPr>
          <w:rFonts w:ascii="宋体" w:hAnsi="宋体"/>
          <w:color w:val="auto"/>
          <w:szCs w:val="21"/>
          <w:highlight w:val="none"/>
        </w:rPr>
        <w:t>行业；</w:t>
      </w:r>
      <w:r>
        <w:rPr>
          <w:rFonts w:hint="eastAsia" w:ascii="宋体" w:hAnsi="宋体"/>
          <w:color w:val="auto"/>
          <w:szCs w:val="21"/>
          <w:highlight w:val="none"/>
        </w:rPr>
        <w:t>承接的企业</w:t>
      </w:r>
      <w:r>
        <w:rPr>
          <w:rFonts w:ascii="宋体" w:hAnsi="宋体"/>
          <w:color w:val="auto"/>
          <w:szCs w:val="21"/>
          <w:highlight w:val="none"/>
        </w:rPr>
        <w:t>为</w:t>
      </w:r>
      <w:r>
        <w:rPr>
          <w:rFonts w:ascii="宋体" w:hAnsi="宋体"/>
          <w:color w:val="auto"/>
          <w:szCs w:val="21"/>
          <w:highlight w:val="none"/>
          <w:u w:val="single"/>
        </w:rPr>
        <w:t>（企业名称）</w:t>
      </w:r>
      <w:r>
        <w:rPr>
          <w:rFonts w:ascii="宋体" w:hAnsi="宋体"/>
          <w:color w:val="auto"/>
          <w:szCs w:val="21"/>
          <w:highlight w:val="none"/>
        </w:rPr>
        <w:t>，从业人员</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人，营业收入为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万元，资产总额为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万元，属于</w:t>
      </w:r>
      <w:r>
        <w:rPr>
          <w:rFonts w:ascii="宋体" w:hAnsi="宋体"/>
          <w:color w:val="auto"/>
          <w:szCs w:val="21"/>
          <w:highlight w:val="none"/>
          <w:u w:val="single"/>
        </w:rPr>
        <w:t>（中型企业、小型企业、微型企业）</w:t>
      </w:r>
      <w:r>
        <w:rPr>
          <w:rFonts w:ascii="宋体" w:hAnsi="宋体"/>
          <w:color w:val="auto"/>
          <w:szCs w:val="21"/>
          <w:highlight w:val="none"/>
        </w:rPr>
        <w:t>；</w:t>
      </w:r>
    </w:p>
    <w:p w14:paraId="3DCE9AC0">
      <w:pPr>
        <w:pStyle w:val="21"/>
        <w:spacing w:after="0" w:line="360" w:lineRule="auto"/>
        <w:ind w:left="142" w:right="142"/>
        <w:contextualSpacing/>
        <w:rPr>
          <w:rFonts w:ascii="宋体" w:hAnsi="宋体"/>
          <w:color w:val="auto"/>
          <w:szCs w:val="21"/>
          <w:highlight w:val="none"/>
        </w:rPr>
      </w:pPr>
      <w:r>
        <w:rPr>
          <w:rFonts w:ascii="宋体" w:hAnsi="宋体"/>
          <w:color w:val="auto"/>
          <w:szCs w:val="21"/>
          <w:highlight w:val="none"/>
        </w:rPr>
        <w:t xml:space="preserve">…… </w:t>
      </w:r>
    </w:p>
    <w:p w14:paraId="6CE34B20">
      <w:pPr>
        <w:pStyle w:val="21"/>
        <w:spacing w:after="0" w:line="360" w:lineRule="auto"/>
        <w:ind w:left="-405" w:leftChars="-193" w:right="142" w:firstLine="396" w:firstLineChars="189"/>
        <w:contextualSpacing/>
        <w:rPr>
          <w:rFonts w:ascii="宋体" w:hAnsi="宋体"/>
          <w:color w:val="auto"/>
          <w:szCs w:val="21"/>
          <w:highlight w:val="none"/>
        </w:rPr>
      </w:pPr>
      <w:r>
        <w:rPr>
          <w:rFonts w:ascii="宋体" w:hAnsi="宋体"/>
          <w:color w:val="auto"/>
          <w:szCs w:val="21"/>
          <w:highlight w:val="none"/>
        </w:rPr>
        <w:t>以上企业，不属于大企业的分支机构，不存在控股股东为大企业的情形，也不存在与大企业的负责人为同一人的情形。</w:t>
      </w:r>
    </w:p>
    <w:p w14:paraId="7C70BFB5">
      <w:pPr>
        <w:pStyle w:val="21"/>
        <w:spacing w:after="0" w:line="360" w:lineRule="auto"/>
        <w:ind w:left="-426" w:right="142" w:firstLine="567"/>
        <w:contextualSpacing/>
        <w:rPr>
          <w:rFonts w:ascii="宋体" w:hAnsi="宋体"/>
          <w:color w:val="auto"/>
          <w:szCs w:val="21"/>
          <w:highlight w:val="none"/>
        </w:rPr>
      </w:pPr>
      <w:r>
        <w:rPr>
          <w:rFonts w:ascii="宋体" w:hAnsi="宋体"/>
          <w:color w:val="auto"/>
          <w:szCs w:val="21"/>
          <w:highlight w:val="none"/>
        </w:rPr>
        <w:t>本企业对上述声明内容的真实性负责。如有虚假，将依法承担相应责任。</w:t>
      </w:r>
    </w:p>
    <w:p w14:paraId="225F9E97">
      <w:pPr>
        <w:pStyle w:val="21"/>
        <w:spacing w:after="0" w:line="360" w:lineRule="auto"/>
        <w:ind w:left="3960" w:right="1808"/>
        <w:contextualSpacing/>
        <w:rPr>
          <w:rFonts w:ascii="宋体" w:hAnsi="宋体"/>
          <w:color w:val="auto"/>
          <w:szCs w:val="21"/>
          <w:highlight w:val="none"/>
        </w:rPr>
      </w:pPr>
    </w:p>
    <w:p w14:paraId="4ADB35A9">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37B15488">
      <w:pPr>
        <w:pStyle w:val="21"/>
        <w:spacing w:after="0" w:line="360" w:lineRule="auto"/>
        <w:ind w:right="1808" w:firstLine="3780" w:firstLineChars="1800"/>
        <w:contextualSpacing/>
        <w:rPr>
          <w:rFonts w:ascii="宋体" w:hAnsi="宋体"/>
          <w:color w:val="auto"/>
          <w:szCs w:val="21"/>
          <w:highlight w:val="none"/>
        </w:rPr>
      </w:pPr>
      <w:r>
        <w:rPr>
          <w:rFonts w:ascii="宋体" w:hAnsi="宋体"/>
          <w:color w:val="auto"/>
          <w:szCs w:val="21"/>
          <w:highlight w:val="none"/>
        </w:rPr>
        <w:t>日</w:t>
      </w:r>
      <w:r>
        <w:rPr>
          <w:rFonts w:hint="eastAsia" w:ascii="宋体" w:hAnsi="宋体"/>
          <w:color w:val="auto"/>
          <w:szCs w:val="21"/>
          <w:highlight w:val="none"/>
        </w:rPr>
        <w:t xml:space="preserve"> </w:t>
      </w:r>
      <w:r>
        <w:rPr>
          <w:rFonts w:ascii="宋体" w:hAnsi="宋体"/>
          <w:color w:val="auto"/>
          <w:szCs w:val="21"/>
          <w:highlight w:val="none"/>
        </w:rPr>
        <w:t>期：</w:t>
      </w:r>
    </w:p>
    <w:p w14:paraId="1B39A905">
      <w:pPr>
        <w:pStyle w:val="21"/>
        <w:spacing w:after="0" w:line="360" w:lineRule="auto"/>
        <w:ind w:right="1808"/>
        <w:contextualSpacing/>
        <w:rPr>
          <w:color w:val="auto"/>
          <w:szCs w:val="21"/>
          <w:highlight w:val="none"/>
        </w:rPr>
      </w:pPr>
    </w:p>
    <w:p w14:paraId="4A68053C">
      <w:pPr>
        <w:spacing w:line="360" w:lineRule="auto"/>
        <w:contextualSpacing/>
        <w:rPr>
          <w:rFonts w:ascii="宋体" w:hAnsi="宋体" w:cs="仿宋_GB2312"/>
          <w:color w:val="auto"/>
          <w:szCs w:val="21"/>
          <w:highlight w:val="none"/>
        </w:rPr>
      </w:pPr>
      <w:bookmarkStart w:id="45" w:name="_Hlk65858720"/>
      <w:r>
        <w:rPr>
          <w:rFonts w:hint="eastAsia" w:ascii="宋体" w:hAnsi="宋体" w:cs="仿宋_GB2312"/>
          <w:color w:val="auto"/>
          <w:szCs w:val="21"/>
          <w:highlight w:val="none"/>
        </w:rPr>
        <w:t>注：</w:t>
      </w:r>
      <w:bookmarkEnd w:id="45"/>
      <w:r>
        <w:rPr>
          <w:rFonts w:hint="eastAsia" w:ascii="宋体" w:hAnsi="宋体" w:cs="仿宋_GB2312"/>
          <w:color w:val="auto"/>
          <w:szCs w:val="21"/>
          <w:highlight w:val="none"/>
        </w:rPr>
        <w:t>享受《政府采购促进中小企业发展管理办法》（财库〔2020〕46号）规定的中小企业扶持政策的，采购人、采购代理机构应当随成交结果公开成交供应商的《中小企业声明函》。从业人员、营业收入、资产总额填报上一年度数据，无上一年度数据的新成立企业可不填报。</w:t>
      </w:r>
    </w:p>
    <w:p w14:paraId="67006DA3">
      <w:pPr>
        <w:spacing w:line="520" w:lineRule="exact"/>
        <w:jc w:val="center"/>
        <w:rPr>
          <w:rFonts w:ascii="宋体" w:hAnsi="宋体" w:cs="宋体"/>
          <w:color w:val="auto"/>
          <w:sz w:val="44"/>
          <w:szCs w:val="44"/>
          <w:highlight w:val="none"/>
        </w:rPr>
      </w:pPr>
      <w:r>
        <w:rPr>
          <w:rFonts w:ascii="宋体" w:hAnsi="宋体" w:cs="仿宋_GB2312"/>
          <w:color w:val="auto"/>
          <w:sz w:val="24"/>
          <w:highlight w:val="none"/>
        </w:rPr>
        <w:br w:type="page"/>
      </w:r>
    </w:p>
    <w:p w14:paraId="28EC04AE">
      <w:pPr>
        <w:spacing w:line="520" w:lineRule="exact"/>
        <w:jc w:val="center"/>
        <w:rPr>
          <w:rFonts w:ascii="宋体" w:hAnsi="宋体" w:cs="宋体"/>
          <w:color w:val="auto"/>
          <w:sz w:val="32"/>
          <w:szCs w:val="32"/>
          <w:highlight w:val="none"/>
        </w:rPr>
      </w:pPr>
      <w:r>
        <w:rPr>
          <w:rFonts w:hint="eastAsia" w:ascii="宋体" w:hAnsi="宋体" w:cs="宋体"/>
          <w:color w:val="auto"/>
          <w:sz w:val="44"/>
          <w:szCs w:val="44"/>
          <w:highlight w:val="none"/>
        </w:rPr>
        <w:t>残疾人福利性单位声明函</w:t>
      </w:r>
    </w:p>
    <w:p w14:paraId="6BD10355">
      <w:pPr>
        <w:spacing w:line="520" w:lineRule="exact"/>
        <w:rPr>
          <w:rFonts w:ascii="宋体" w:hAnsi="宋体" w:cs="宋体"/>
          <w:color w:val="auto"/>
          <w:sz w:val="32"/>
          <w:szCs w:val="32"/>
          <w:highlight w:val="none"/>
        </w:rPr>
      </w:pPr>
    </w:p>
    <w:p w14:paraId="6EE59326">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单位的</w:t>
      </w:r>
      <w:r>
        <w:rPr>
          <w:rFonts w:hint="eastAsia" w:ascii="宋体" w:hAnsi="宋体" w:cs="仿宋_GB2312"/>
          <w:color w:val="auto"/>
          <w:szCs w:val="21"/>
          <w:highlight w:val="none"/>
          <w:u w:val="single"/>
        </w:rPr>
        <w:t xml:space="preserve">        </w:t>
      </w:r>
      <w:r>
        <w:rPr>
          <w:rFonts w:hint="eastAsia" w:ascii="宋体" w:hAnsi="宋体" w:cs="仿宋_GB2312"/>
          <w:color w:val="auto"/>
          <w:szCs w:val="21"/>
          <w:highlight w:val="none"/>
        </w:rPr>
        <w:t>项目采购活动提供本单位制造的货物（由本单位承担工程/提供服务），或者提供其他残疾人福利性单位制造的货物（不包括使用非残疾人福利性单位注册商标的货物）。</w:t>
      </w:r>
    </w:p>
    <w:p w14:paraId="0D341A00">
      <w:pPr>
        <w:spacing w:line="360" w:lineRule="auto"/>
        <w:ind w:firstLine="420" w:firstLineChars="200"/>
        <w:contextualSpacing/>
        <w:rPr>
          <w:rFonts w:ascii="宋体" w:hAnsi="宋体" w:cs="仿宋_GB2312"/>
          <w:color w:val="auto"/>
          <w:szCs w:val="21"/>
          <w:highlight w:val="none"/>
        </w:rPr>
      </w:pPr>
      <w:r>
        <w:rPr>
          <w:rFonts w:hint="eastAsia" w:ascii="宋体" w:hAnsi="宋体" w:cs="仿宋_GB2312"/>
          <w:color w:val="auto"/>
          <w:szCs w:val="21"/>
          <w:highlight w:val="none"/>
        </w:rPr>
        <w:t>本单位对上述声明的真实性负责。如有虚假，将依法承担相应责任。</w:t>
      </w:r>
    </w:p>
    <w:p w14:paraId="11422B5B">
      <w:pPr>
        <w:spacing w:line="360" w:lineRule="auto"/>
        <w:contextualSpacing/>
        <w:rPr>
          <w:rFonts w:ascii="宋体" w:hAnsi="宋体" w:cs="宋体"/>
          <w:color w:val="auto"/>
          <w:szCs w:val="21"/>
          <w:highlight w:val="none"/>
        </w:rPr>
      </w:pPr>
    </w:p>
    <w:p w14:paraId="37F6DC2D">
      <w:pPr>
        <w:spacing w:line="360" w:lineRule="auto"/>
        <w:contextualSpacing/>
        <w:rPr>
          <w:rFonts w:ascii="宋体" w:hAnsi="宋体" w:cs="宋体"/>
          <w:color w:val="auto"/>
          <w:szCs w:val="21"/>
          <w:highlight w:val="none"/>
        </w:rPr>
      </w:pPr>
    </w:p>
    <w:p w14:paraId="55D6AFCF">
      <w:pPr>
        <w:spacing w:line="360" w:lineRule="auto"/>
        <w:contextualSpacing/>
        <w:rPr>
          <w:rFonts w:ascii="宋体" w:hAnsi="宋体" w:cs="宋体"/>
          <w:color w:val="auto"/>
          <w:szCs w:val="21"/>
          <w:highlight w:val="none"/>
        </w:rPr>
      </w:pPr>
    </w:p>
    <w:p w14:paraId="234EAC77">
      <w:pPr>
        <w:spacing w:line="360" w:lineRule="auto"/>
        <w:ind w:firstLine="3780" w:firstLineChars="1800"/>
        <w:contextualSpacing/>
        <w:rPr>
          <w:rFonts w:hAnsi="宋体" w:cs="宋体;SimSun"/>
          <w:color w:val="auto"/>
          <w:highlight w:val="none"/>
        </w:rPr>
      </w:pPr>
      <w:r>
        <w:rPr>
          <w:rFonts w:hint="eastAsia" w:hAnsi="宋体" w:cs="宋体;SimSun"/>
          <w:color w:val="auto"/>
          <w:highlight w:val="none"/>
        </w:rPr>
        <w:t>供应商名称（盖单位公章）：</w:t>
      </w:r>
    </w:p>
    <w:p w14:paraId="5CA4C3E5">
      <w:pPr>
        <w:spacing w:line="360" w:lineRule="auto"/>
        <w:ind w:firstLine="3780" w:firstLineChars="1800"/>
        <w:contextualSpacing/>
        <w:rPr>
          <w:rFonts w:ascii="宋体" w:hAnsi="宋体" w:cs="宋体"/>
          <w:color w:val="auto"/>
          <w:szCs w:val="21"/>
          <w:highlight w:val="none"/>
        </w:rPr>
      </w:pPr>
      <w:r>
        <w:rPr>
          <w:rFonts w:hint="eastAsia" w:ascii="宋体" w:hAnsi="宋体" w:cs="宋体"/>
          <w:color w:val="auto"/>
          <w:szCs w:val="21"/>
          <w:highlight w:val="none"/>
        </w:rPr>
        <w:t>日  期：     年   月   日</w:t>
      </w:r>
    </w:p>
    <w:p w14:paraId="1CEA4B25">
      <w:pPr>
        <w:spacing w:line="360" w:lineRule="auto"/>
        <w:contextualSpacing/>
        <w:rPr>
          <w:rFonts w:ascii="宋体" w:hAnsi="宋体" w:cs="宋体"/>
          <w:color w:val="auto"/>
          <w:szCs w:val="21"/>
          <w:highlight w:val="none"/>
        </w:rPr>
      </w:pPr>
    </w:p>
    <w:p w14:paraId="3F81F83A">
      <w:pPr>
        <w:spacing w:line="360" w:lineRule="auto"/>
        <w:contextualSpacing/>
        <w:rPr>
          <w:rFonts w:ascii="宋体" w:hAnsi="宋体" w:cs="宋体"/>
          <w:color w:val="auto"/>
          <w:szCs w:val="21"/>
          <w:highlight w:val="none"/>
        </w:rPr>
      </w:pPr>
    </w:p>
    <w:p w14:paraId="079C0D74">
      <w:pPr>
        <w:spacing w:line="360" w:lineRule="auto"/>
        <w:contextualSpacing/>
        <w:rPr>
          <w:rFonts w:ascii="宋体" w:hAnsi="宋体" w:cs="宋体"/>
          <w:color w:val="auto"/>
          <w:szCs w:val="21"/>
          <w:highlight w:val="none"/>
        </w:rPr>
      </w:pPr>
      <w:r>
        <w:rPr>
          <w:rFonts w:hint="eastAsia" w:ascii="宋体" w:hAnsi="宋体" w:cs="宋体"/>
          <w:color w:val="auto"/>
          <w:szCs w:val="21"/>
          <w:highlight w:val="none"/>
        </w:rPr>
        <w:t>注：请根据自己的真实情况出具《残疾人福利性单位声明函》。依法享受中小企业优惠政策的，采购人或者采购代理机构在公告中标结果时，同时公告其《残疾人福利性单位声明函》，接受社会监督。</w:t>
      </w:r>
    </w:p>
    <w:p w14:paraId="4E19BCE5">
      <w:pPr>
        <w:spacing w:line="520" w:lineRule="exact"/>
        <w:jc w:val="center"/>
        <w:rPr>
          <w:rFonts w:ascii="宋体" w:hAnsi="宋体" w:cs="宋体"/>
          <w:color w:val="auto"/>
          <w:sz w:val="24"/>
          <w:highlight w:val="none"/>
        </w:rPr>
      </w:pPr>
    </w:p>
    <w:p w14:paraId="1B3B1057">
      <w:pPr>
        <w:pStyle w:val="27"/>
        <w:spacing w:line="440" w:lineRule="exact"/>
        <w:jc w:val="center"/>
        <w:rPr>
          <w:b/>
          <w:color w:val="auto"/>
          <w:sz w:val="32"/>
          <w:szCs w:val="32"/>
          <w:highlight w:val="none"/>
        </w:rPr>
      </w:pPr>
      <w:r>
        <w:rPr>
          <w:rFonts w:hAnsi="宋体" w:cs="宋体;SimSun"/>
          <w:b/>
          <w:bCs/>
          <w:color w:val="auto"/>
          <w:sz w:val="28"/>
          <w:szCs w:val="28"/>
          <w:highlight w:val="none"/>
        </w:rPr>
        <w:br w:type="page"/>
      </w:r>
    </w:p>
    <w:p w14:paraId="73C1C949">
      <w:pPr>
        <w:pStyle w:val="27"/>
        <w:spacing w:line="440" w:lineRule="exact"/>
        <w:jc w:val="center"/>
        <w:rPr>
          <w:b/>
          <w:color w:val="auto"/>
          <w:sz w:val="32"/>
          <w:szCs w:val="32"/>
          <w:highlight w:val="none"/>
        </w:rPr>
      </w:pPr>
      <w:r>
        <w:rPr>
          <w:rFonts w:hint="eastAsia"/>
          <w:b/>
          <w:color w:val="auto"/>
          <w:sz w:val="32"/>
          <w:szCs w:val="32"/>
          <w:highlight w:val="none"/>
        </w:rPr>
        <w:t>法定代表人身份证明书（格式）</w:t>
      </w:r>
    </w:p>
    <w:p w14:paraId="46F7EDF0">
      <w:pPr>
        <w:pStyle w:val="27"/>
        <w:spacing w:line="460" w:lineRule="exact"/>
        <w:ind w:firstLine="516" w:firstLineChars="257"/>
        <w:jc w:val="center"/>
        <w:rPr>
          <w:b/>
          <w:color w:val="auto"/>
          <w:highlight w:val="none"/>
        </w:rPr>
      </w:pPr>
    </w:p>
    <w:p w14:paraId="5849D69A">
      <w:pPr>
        <w:spacing w:line="500" w:lineRule="exact"/>
        <w:rPr>
          <w:rFonts w:ascii="宋体" w:hAnsi="宋体"/>
          <w:color w:val="auto"/>
          <w:szCs w:val="21"/>
          <w:highlight w:val="none"/>
        </w:rPr>
      </w:pPr>
      <w:r>
        <w:rPr>
          <w:rFonts w:hint="eastAsia" w:ascii="宋体" w:hAnsi="宋体"/>
          <w:color w:val="auto"/>
          <w:szCs w:val="21"/>
          <w:highlight w:val="none"/>
        </w:rPr>
        <w:t>竞 标 人：</w:t>
      </w:r>
      <w:r>
        <w:rPr>
          <w:rFonts w:hint="eastAsia" w:ascii="宋体" w:hAnsi="宋体"/>
          <w:color w:val="auto"/>
          <w:szCs w:val="21"/>
          <w:highlight w:val="none"/>
          <w:u w:val="single"/>
        </w:rPr>
        <w:t xml:space="preserve">                                                        </w:t>
      </w:r>
    </w:p>
    <w:p w14:paraId="1A5F594F">
      <w:pPr>
        <w:spacing w:line="500" w:lineRule="exact"/>
        <w:rPr>
          <w:rFonts w:ascii="宋体" w:hAnsi="宋体"/>
          <w:color w:val="auto"/>
          <w:szCs w:val="21"/>
          <w:highlight w:val="none"/>
        </w:rPr>
      </w:pPr>
      <w:r>
        <w:rPr>
          <w:rFonts w:hint="eastAsia" w:ascii="宋体" w:hAnsi="宋体"/>
          <w:color w:val="auto"/>
          <w:szCs w:val="21"/>
          <w:highlight w:val="none"/>
        </w:rPr>
        <w:t>单位性质：</w:t>
      </w:r>
      <w:r>
        <w:rPr>
          <w:rFonts w:hint="eastAsia" w:ascii="宋体" w:hAnsi="宋体"/>
          <w:color w:val="auto"/>
          <w:szCs w:val="21"/>
          <w:highlight w:val="none"/>
          <w:u w:val="single"/>
        </w:rPr>
        <w:t xml:space="preserve">                                                        </w:t>
      </w:r>
    </w:p>
    <w:p w14:paraId="2F476E3A">
      <w:pPr>
        <w:spacing w:line="500" w:lineRule="exact"/>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3F579735">
      <w:pPr>
        <w:spacing w:line="500" w:lineRule="exact"/>
        <w:rPr>
          <w:rFonts w:ascii="宋体" w:hAnsi="宋体"/>
          <w:color w:val="auto"/>
          <w:szCs w:val="21"/>
          <w:highlight w:val="none"/>
        </w:rPr>
      </w:pPr>
      <w:r>
        <w:rPr>
          <w:rFonts w:hint="eastAsia" w:ascii="宋体" w:hAnsi="宋体"/>
          <w:color w:val="auto"/>
          <w:szCs w:val="21"/>
          <w:highlight w:val="none"/>
        </w:rPr>
        <w:t>成立时间：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408EAF29">
      <w:pPr>
        <w:spacing w:line="500" w:lineRule="exact"/>
        <w:rPr>
          <w:rFonts w:ascii="宋体" w:hAnsi="宋体"/>
          <w:color w:val="auto"/>
          <w:szCs w:val="21"/>
          <w:highlight w:val="none"/>
        </w:rPr>
      </w:pPr>
      <w:r>
        <w:rPr>
          <w:rFonts w:hint="eastAsia" w:ascii="宋体" w:hAnsi="宋体"/>
          <w:color w:val="auto"/>
          <w:szCs w:val="21"/>
          <w:highlight w:val="none"/>
        </w:rPr>
        <w:t>经营期限：</w:t>
      </w:r>
      <w:r>
        <w:rPr>
          <w:rFonts w:hint="eastAsia" w:ascii="宋体" w:hAnsi="宋体"/>
          <w:color w:val="auto"/>
          <w:szCs w:val="21"/>
          <w:highlight w:val="none"/>
          <w:u w:val="single"/>
        </w:rPr>
        <w:t xml:space="preserve">                                                        </w:t>
      </w:r>
    </w:p>
    <w:p w14:paraId="6339BA46">
      <w:pPr>
        <w:spacing w:line="500" w:lineRule="exact"/>
        <w:rPr>
          <w:rFonts w:ascii="宋体" w:hAnsi="宋体"/>
          <w:color w:val="auto"/>
          <w:szCs w:val="21"/>
          <w:highlight w:val="none"/>
        </w:rPr>
      </w:pPr>
      <w:r>
        <w:rPr>
          <w:rFonts w:hint="eastAsia" w:ascii="宋体" w:hAnsi="宋体"/>
          <w:color w:val="auto"/>
          <w:szCs w:val="21"/>
          <w:highlight w:val="none"/>
        </w:rPr>
        <w:t>姓    名：</w:t>
      </w:r>
      <w:r>
        <w:rPr>
          <w:rFonts w:hint="eastAsia" w:ascii="宋体" w:hAnsi="宋体"/>
          <w:color w:val="auto"/>
          <w:szCs w:val="21"/>
          <w:highlight w:val="none"/>
          <w:u w:val="single"/>
        </w:rPr>
        <w:t xml:space="preserve">                          </w:t>
      </w:r>
      <w:r>
        <w:rPr>
          <w:rFonts w:hint="eastAsia" w:ascii="宋体" w:hAnsi="宋体"/>
          <w:color w:val="auto"/>
          <w:szCs w:val="21"/>
          <w:highlight w:val="none"/>
        </w:rPr>
        <w:t>性      别：</w:t>
      </w:r>
      <w:r>
        <w:rPr>
          <w:rFonts w:hint="eastAsia" w:ascii="宋体" w:hAnsi="宋体"/>
          <w:color w:val="auto"/>
          <w:szCs w:val="21"/>
          <w:highlight w:val="none"/>
          <w:u w:val="single"/>
        </w:rPr>
        <w:t xml:space="preserve">                </w:t>
      </w:r>
    </w:p>
    <w:p w14:paraId="35403C84">
      <w:pPr>
        <w:spacing w:line="500" w:lineRule="exact"/>
        <w:rPr>
          <w:rFonts w:ascii="宋体" w:hAnsi="宋体"/>
          <w:color w:val="auto"/>
          <w:szCs w:val="21"/>
          <w:highlight w:val="none"/>
          <w:u w:val="single"/>
        </w:rPr>
      </w:pPr>
      <w:r>
        <w:rPr>
          <w:rFonts w:hint="eastAsia" w:ascii="宋体" w:hAnsi="宋体"/>
          <w:color w:val="auto"/>
          <w:szCs w:val="21"/>
          <w:highlight w:val="none"/>
        </w:rPr>
        <w:t>年    龄：</w:t>
      </w:r>
      <w:r>
        <w:rPr>
          <w:rFonts w:hint="eastAsia" w:ascii="宋体" w:hAnsi="宋体"/>
          <w:color w:val="auto"/>
          <w:szCs w:val="21"/>
          <w:highlight w:val="none"/>
          <w:u w:val="single"/>
        </w:rPr>
        <w:t xml:space="preserve">                          </w:t>
      </w:r>
      <w:r>
        <w:rPr>
          <w:rFonts w:hint="eastAsia" w:ascii="宋体" w:hAnsi="宋体"/>
          <w:color w:val="auto"/>
          <w:szCs w:val="21"/>
          <w:highlight w:val="none"/>
        </w:rPr>
        <w:t>职      务：</w:t>
      </w:r>
      <w:r>
        <w:rPr>
          <w:rFonts w:hint="eastAsia" w:ascii="宋体" w:hAnsi="宋体"/>
          <w:color w:val="auto"/>
          <w:szCs w:val="21"/>
          <w:highlight w:val="none"/>
          <w:u w:val="single"/>
        </w:rPr>
        <w:t xml:space="preserve">                </w:t>
      </w:r>
    </w:p>
    <w:p w14:paraId="2422696C">
      <w:pPr>
        <w:spacing w:line="500" w:lineRule="exact"/>
        <w:rPr>
          <w:rFonts w:ascii="宋体" w:hAnsi="宋体"/>
          <w:color w:val="auto"/>
          <w:szCs w:val="21"/>
          <w:highlight w:val="none"/>
        </w:rPr>
      </w:pPr>
      <w:r>
        <w:rPr>
          <w:rFonts w:hint="eastAsia" w:ascii="宋体" w:hAnsi="宋体"/>
          <w:color w:val="auto"/>
          <w:szCs w:val="21"/>
          <w:highlight w:val="none"/>
        </w:rPr>
        <w:t>身份证</w:t>
      </w:r>
      <w:r>
        <w:rPr>
          <w:rFonts w:hint="eastAsia"/>
          <w:color w:val="auto"/>
          <w:szCs w:val="21"/>
          <w:highlight w:val="none"/>
        </w:rPr>
        <w:t>号码：</w:t>
      </w:r>
      <w:r>
        <w:rPr>
          <w:rFonts w:hint="eastAsia"/>
          <w:color w:val="auto"/>
          <w:szCs w:val="21"/>
          <w:highlight w:val="none"/>
          <w:u w:val="single"/>
        </w:rPr>
        <w:t xml:space="preserve">                                 </w:t>
      </w:r>
    </w:p>
    <w:p w14:paraId="04E7B405">
      <w:pPr>
        <w:spacing w:line="500" w:lineRule="exact"/>
        <w:rPr>
          <w:rFonts w:ascii="宋体" w:hAnsi="宋体"/>
          <w:color w:val="auto"/>
          <w:szCs w:val="21"/>
          <w:highlight w:val="none"/>
        </w:rPr>
      </w:pPr>
      <w:r>
        <w:rPr>
          <w:rFonts w:hint="eastAsia" w:ascii="宋体" w:hAnsi="宋体"/>
          <w:color w:val="auto"/>
          <w:szCs w:val="21"/>
          <w:highlight w:val="none"/>
        </w:rPr>
        <w:t>系</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（供应商名称）的</w:t>
      </w:r>
      <w:r>
        <w:rPr>
          <w:rFonts w:hint="eastAsia" w:hAnsi="宋体"/>
          <w:color w:val="auto"/>
          <w:szCs w:val="21"/>
          <w:highlight w:val="none"/>
        </w:rPr>
        <w:t>法定代表人</w:t>
      </w:r>
      <w:r>
        <w:rPr>
          <w:rFonts w:hint="eastAsia" w:ascii="宋体" w:hAnsi="宋体"/>
          <w:color w:val="auto"/>
          <w:szCs w:val="21"/>
          <w:highlight w:val="none"/>
        </w:rPr>
        <w:t>。</w:t>
      </w:r>
    </w:p>
    <w:p w14:paraId="592AC9A2">
      <w:pPr>
        <w:pStyle w:val="27"/>
        <w:spacing w:line="460" w:lineRule="exact"/>
        <w:ind w:firstLine="539" w:firstLineChars="257"/>
        <w:rPr>
          <w:rFonts w:hAnsi="宋体"/>
          <w:color w:val="auto"/>
          <w:sz w:val="21"/>
          <w:highlight w:val="none"/>
        </w:rPr>
      </w:pPr>
      <w:r>
        <w:rPr>
          <w:rFonts w:hint="eastAsia" w:hAnsi="宋体"/>
          <w:color w:val="auto"/>
          <w:sz w:val="21"/>
          <w:highlight w:val="none"/>
        </w:rPr>
        <w:t>特此证明。</w:t>
      </w:r>
    </w:p>
    <w:p w14:paraId="697C518D">
      <w:pPr>
        <w:pStyle w:val="27"/>
        <w:spacing w:line="460" w:lineRule="exact"/>
        <w:ind w:firstLine="539" w:firstLineChars="257"/>
        <w:rPr>
          <w:color w:val="auto"/>
          <w:sz w:val="21"/>
          <w:highlight w:val="none"/>
        </w:rPr>
      </w:pPr>
      <w:r>
        <w:rPr>
          <w:rFonts w:hint="eastAsia" w:hAnsi="宋体"/>
          <w:color w:val="auto"/>
          <w:sz w:val="21"/>
          <w:highlight w:val="none"/>
        </w:rPr>
        <w:t>附：法定代表人身份证正反面复印件</w:t>
      </w:r>
    </w:p>
    <w:p w14:paraId="3A3B95E4">
      <w:pPr>
        <w:pStyle w:val="27"/>
        <w:spacing w:line="460" w:lineRule="exact"/>
        <w:ind w:firstLine="539" w:firstLineChars="257"/>
        <w:rPr>
          <w:color w:val="auto"/>
          <w:sz w:val="21"/>
          <w:highlight w:val="none"/>
        </w:rPr>
      </w:pPr>
    </w:p>
    <w:p w14:paraId="2FFEC2DF">
      <w:pPr>
        <w:pStyle w:val="27"/>
        <w:spacing w:line="460" w:lineRule="exact"/>
        <w:ind w:firstLine="539" w:firstLineChars="257"/>
        <w:rPr>
          <w:color w:val="auto"/>
          <w:sz w:val="21"/>
          <w:highlight w:val="none"/>
        </w:rPr>
      </w:pPr>
    </w:p>
    <w:p w14:paraId="456AAEA0">
      <w:pPr>
        <w:pStyle w:val="27"/>
        <w:spacing w:line="460" w:lineRule="exact"/>
        <w:ind w:firstLine="539" w:firstLineChars="257"/>
        <w:rPr>
          <w:color w:val="auto"/>
          <w:sz w:val="21"/>
          <w:highlight w:val="none"/>
        </w:rPr>
      </w:pPr>
    </w:p>
    <w:p w14:paraId="78C0E1E6">
      <w:pPr>
        <w:pStyle w:val="27"/>
        <w:wordWrap w:val="0"/>
        <w:spacing w:line="460" w:lineRule="exact"/>
        <w:ind w:firstLine="539" w:firstLineChars="257"/>
        <w:jc w:val="right"/>
        <w:rPr>
          <w:color w:val="auto"/>
          <w:sz w:val="21"/>
          <w:highlight w:val="none"/>
        </w:rPr>
      </w:pPr>
      <w:r>
        <w:rPr>
          <w:rFonts w:hint="eastAsia"/>
          <w:color w:val="auto"/>
          <w:sz w:val="21"/>
          <w:highlight w:val="none"/>
        </w:rPr>
        <w:t>供应商：（盖单位公章）</w:t>
      </w:r>
      <w:r>
        <w:rPr>
          <w:rFonts w:hint="eastAsia"/>
          <w:color w:val="auto"/>
          <w:sz w:val="21"/>
          <w:highlight w:val="none"/>
          <w:u w:val="single"/>
        </w:rPr>
        <w:t xml:space="preserve">                     </w:t>
      </w:r>
    </w:p>
    <w:p w14:paraId="1832D11D">
      <w:pPr>
        <w:pStyle w:val="27"/>
        <w:spacing w:line="460" w:lineRule="exact"/>
        <w:ind w:firstLine="539" w:firstLineChars="257"/>
        <w:rPr>
          <w:color w:val="auto"/>
          <w:sz w:val="21"/>
          <w:highlight w:val="none"/>
        </w:rPr>
      </w:pPr>
    </w:p>
    <w:p w14:paraId="36BB5026">
      <w:pPr>
        <w:pStyle w:val="27"/>
        <w:spacing w:line="460" w:lineRule="exact"/>
        <w:ind w:firstLine="525" w:firstLineChars="250"/>
        <w:jc w:val="right"/>
        <w:rPr>
          <w:color w:val="auto"/>
          <w:sz w:val="21"/>
          <w:highlight w:val="none"/>
        </w:rPr>
      </w:pPr>
      <w:r>
        <w:rPr>
          <w:rFonts w:hint="eastAsia"/>
          <w:color w:val="auto"/>
          <w:sz w:val="21"/>
          <w:highlight w:val="none"/>
        </w:rPr>
        <w:t>日期：   年    月    日</w:t>
      </w:r>
    </w:p>
    <w:p w14:paraId="2D3E7C1E">
      <w:pPr>
        <w:pStyle w:val="27"/>
        <w:spacing w:line="460" w:lineRule="exact"/>
        <w:rPr>
          <w:color w:val="auto"/>
          <w:sz w:val="21"/>
          <w:highlight w:val="none"/>
        </w:rPr>
      </w:pPr>
    </w:p>
    <w:p w14:paraId="1004AA4E">
      <w:pPr>
        <w:pStyle w:val="27"/>
        <w:spacing w:line="460" w:lineRule="exact"/>
        <w:rPr>
          <w:color w:val="auto"/>
          <w:sz w:val="21"/>
          <w:highlight w:val="none"/>
        </w:rPr>
      </w:pPr>
    </w:p>
    <w:p w14:paraId="5AAC437E">
      <w:pPr>
        <w:autoSpaceDE w:val="0"/>
        <w:autoSpaceDN w:val="0"/>
        <w:spacing w:line="440" w:lineRule="exact"/>
        <w:ind w:left="480" w:hanging="480"/>
        <w:rPr>
          <w:rFonts w:hAnsi="宋体"/>
          <w:color w:val="auto"/>
          <w:highlight w:val="none"/>
        </w:rPr>
      </w:pPr>
    </w:p>
    <w:p w14:paraId="54889092">
      <w:pPr>
        <w:pStyle w:val="27"/>
        <w:spacing w:line="360" w:lineRule="auto"/>
        <w:ind w:right="400" w:firstLine="420"/>
        <w:jc w:val="both"/>
        <w:rPr>
          <w:color w:val="auto"/>
          <w:highlight w:val="none"/>
          <w:u w:val="single"/>
        </w:rPr>
      </w:pPr>
    </w:p>
    <w:p w14:paraId="46BE73B6">
      <w:pPr>
        <w:pStyle w:val="27"/>
        <w:spacing w:line="400" w:lineRule="exact"/>
        <w:jc w:val="center"/>
        <w:rPr>
          <w:rFonts w:hAnsi="宋体" w:cs="宋体;SimSun"/>
          <w:b/>
          <w:bCs/>
          <w:color w:val="auto"/>
          <w:sz w:val="32"/>
          <w:szCs w:val="32"/>
          <w:highlight w:val="none"/>
        </w:rPr>
      </w:pPr>
      <w:r>
        <w:rPr>
          <w:rFonts w:hAnsi="宋体"/>
          <w:color w:val="auto"/>
          <w:highlight w:val="none"/>
        </w:rPr>
        <w:br w:type="page"/>
      </w:r>
      <w:r>
        <w:rPr>
          <w:rFonts w:hint="eastAsia" w:hAnsi="宋体" w:cs="宋体;SimSun"/>
          <w:b/>
          <w:bCs/>
          <w:color w:val="auto"/>
          <w:sz w:val="32"/>
          <w:szCs w:val="32"/>
          <w:highlight w:val="none"/>
        </w:rPr>
        <w:t>商务条款偏离表（格式）</w:t>
      </w:r>
    </w:p>
    <w:p w14:paraId="51BFC442">
      <w:pPr>
        <w:pStyle w:val="27"/>
        <w:spacing w:line="400" w:lineRule="exact"/>
        <w:jc w:val="center"/>
        <w:rPr>
          <w:rFonts w:hAnsi="宋体" w:cs="宋体;SimSun"/>
          <w:b/>
          <w:bCs/>
          <w:color w:val="auto"/>
          <w:sz w:val="30"/>
          <w:szCs w:val="30"/>
          <w:highlight w:val="none"/>
        </w:rPr>
      </w:pPr>
    </w:p>
    <w:p w14:paraId="21D97EF9">
      <w:pPr>
        <w:spacing w:line="400" w:lineRule="exact"/>
        <w:rPr>
          <w:rFonts w:ascii="宋体" w:hAnsi="宋体"/>
          <w:b/>
          <w:color w:val="auto"/>
          <w:szCs w:val="21"/>
          <w:highlight w:val="none"/>
          <w:u w:val="single"/>
        </w:rPr>
      </w:pPr>
      <w:r>
        <w:rPr>
          <w:rFonts w:hint="eastAsia" w:ascii="宋体" w:hAnsi="宋体"/>
          <w:b/>
          <w:color w:val="auto"/>
          <w:szCs w:val="21"/>
          <w:highlight w:val="none"/>
        </w:rPr>
        <w:t>项目编号：</w:t>
      </w:r>
      <w:r>
        <w:rPr>
          <w:rFonts w:hint="eastAsia" w:ascii="宋体" w:hAnsi="宋体"/>
          <w:b/>
          <w:color w:val="auto"/>
          <w:szCs w:val="21"/>
          <w:highlight w:val="none"/>
          <w:u w:val="single"/>
        </w:rPr>
        <w:t xml:space="preserve">                         </w:t>
      </w:r>
    </w:p>
    <w:p w14:paraId="77AE0998">
      <w:pPr>
        <w:spacing w:line="400" w:lineRule="exact"/>
        <w:rPr>
          <w:rFonts w:ascii="宋体" w:hAnsi="宋体"/>
          <w:b/>
          <w:color w:val="auto"/>
          <w:szCs w:val="21"/>
          <w:highlight w:val="none"/>
          <w:u w:val="single"/>
        </w:rPr>
      </w:pPr>
      <w:r>
        <w:rPr>
          <w:rFonts w:hint="eastAsia" w:ascii="宋体" w:hAnsi="宋体"/>
          <w:b/>
          <w:color w:val="auto"/>
          <w:szCs w:val="21"/>
          <w:highlight w:val="none"/>
        </w:rPr>
        <w:t>项目名称：</w:t>
      </w:r>
      <w:r>
        <w:rPr>
          <w:rFonts w:hint="eastAsia" w:ascii="宋体" w:hAnsi="宋体"/>
          <w:b/>
          <w:color w:val="auto"/>
          <w:szCs w:val="21"/>
          <w:highlight w:val="none"/>
          <w:u w:val="single"/>
        </w:rPr>
        <w:t xml:space="preserve"> </w:t>
      </w:r>
      <w:r>
        <w:rPr>
          <w:rFonts w:hint="eastAsia" w:ascii="宋体" w:hAnsi="宋体"/>
          <w:bCs/>
          <w:color w:val="auto"/>
          <w:szCs w:val="21"/>
          <w:highlight w:val="none"/>
          <w:u w:val="single"/>
        </w:rPr>
        <w:t xml:space="preserve">                        </w:t>
      </w:r>
    </w:p>
    <w:p w14:paraId="5FCF1F79">
      <w:pPr>
        <w:spacing w:line="400" w:lineRule="exact"/>
        <w:rPr>
          <w:rFonts w:ascii="宋体" w:hAnsi="宋体"/>
          <w:b/>
          <w:color w:val="auto"/>
          <w:szCs w:val="21"/>
          <w:highlight w:val="none"/>
          <w:u w:val="single"/>
        </w:rPr>
      </w:pPr>
      <w:r>
        <w:rPr>
          <w:rFonts w:hint="eastAsia" w:ascii="宋体" w:hAnsi="宋体"/>
          <w:b/>
          <w:color w:val="auto"/>
          <w:szCs w:val="21"/>
          <w:highlight w:val="none"/>
        </w:rPr>
        <w:t>标项名称 :</w:t>
      </w:r>
      <w:r>
        <w:rPr>
          <w:rFonts w:hint="eastAsia" w:ascii="宋体" w:hAnsi="宋体"/>
          <w:b/>
          <w:color w:val="auto"/>
          <w:szCs w:val="21"/>
          <w:highlight w:val="none"/>
          <w:u w:val="single"/>
        </w:rPr>
        <w:t xml:space="preserve">                         </w:t>
      </w:r>
    </w:p>
    <w:p w14:paraId="0C156911">
      <w:pPr>
        <w:pStyle w:val="27"/>
        <w:spacing w:line="400" w:lineRule="exact"/>
        <w:ind w:firstLine="527"/>
        <w:rPr>
          <w:rFonts w:hAnsi="宋体"/>
          <w:color w:val="auto"/>
          <w:sz w:val="21"/>
          <w:highlight w:val="none"/>
        </w:rPr>
      </w:pPr>
      <w:r>
        <w:rPr>
          <w:rFonts w:hint="eastAsia" w:hAnsi="宋体" w:cs="宋体;SimSun"/>
          <w:color w:val="auto"/>
          <w:sz w:val="21"/>
          <w:highlight w:val="none"/>
        </w:rPr>
        <w:t>请逐条对应本项目招标文件第三章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w:t>
      </w:r>
      <w:r>
        <w:rPr>
          <w:rFonts w:hint="eastAsia" w:hAnsi="宋体"/>
          <w:color w:val="auto"/>
          <w:sz w:val="21"/>
          <w:highlight w:val="none"/>
        </w:rPr>
        <w:t>“</w:t>
      </w:r>
      <w:r>
        <w:rPr>
          <w:rFonts w:hint="eastAsia" w:hAnsi="宋体" w:cs="宋体;SimSun"/>
          <w:color w:val="auto"/>
          <w:sz w:val="21"/>
          <w:highlight w:val="none"/>
        </w:rPr>
        <w:t>商务要求</w:t>
      </w:r>
      <w:r>
        <w:rPr>
          <w:rFonts w:hint="eastAsia" w:hAnsi="宋体"/>
          <w:color w:val="auto"/>
          <w:sz w:val="21"/>
          <w:highlight w:val="none"/>
        </w:rPr>
        <w:t>”</w:t>
      </w:r>
      <w:r>
        <w:rPr>
          <w:rFonts w:hint="eastAsia" w:hAnsi="宋体" w:cs="宋体;SimSun"/>
          <w:color w:val="auto"/>
          <w:sz w:val="21"/>
          <w:highlight w:val="none"/>
        </w:rPr>
        <w:t>的要求，认真填写该表。</w:t>
      </w:r>
      <w:r>
        <w:rPr>
          <w:rFonts w:hint="eastAsia" w:hAnsi="宋体"/>
          <w:color w:val="auto"/>
          <w:sz w:val="21"/>
          <w:highlight w:val="none"/>
        </w:rPr>
        <w:t>“</w:t>
      </w:r>
      <w:r>
        <w:rPr>
          <w:rFonts w:hint="eastAsia" w:hAnsi="宋体" w:cs="宋体;SimSun"/>
          <w:color w:val="auto"/>
          <w:sz w:val="21"/>
          <w:highlight w:val="none"/>
        </w:rPr>
        <w:t>偏离说明</w:t>
      </w:r>
      <w:r>
        <w:rPr>
          <w:rFonts w:hint="eastAsia" w:hAnsi="宋体"/>
          <w:color w:val="auto"/>
          <w:sz w:val="21"/>
          <w:highlight w:val="none"/>
        </w:rPr>
        <w:t>”</w:t>
      </w:r>
      <w:r>
        <w:rPr>
          <w:rFonts w:hint="eastAsia" w:hAnsi="宋体" w:cs="宋体;SimSun"/>
          <w:color w:val="auto"/>
          <w:sz w:val="21"/>
          <w:highlight w:val="none"/>
        </w:rPr>
        <w:t>一栏选择</w:t>
      </w:r>
      <w:r>
        <w:rPr>
          <w:rFonts w:hint="eastAsia" w:hAnsi="宋体"/>
          <w:color w:val="auto"/>
          <w:sz w:val="21"/>
          <w:highlight w:val="none"/>
        </w:rPr>
        <w:t>“</w:t>
      </w:r>
      <w:r>
        <w:rPr>
          <w:rFonts w:hint="eastAsia" w:hAnsi="宋体" w:cs="宋体;SimSun"/>
          <w:color w:val="auto"/>
          <w:sz w:val="21"/>
          <w:highlight w:val="none"/>
        </w:rPr>
        <w:t>正偏离</w:t>
      </w:r>
      <w:r>
        <w:rPr>
          <w:rFonts w:hint="eastAsia" w:hAnsi="宋体"/>
          <w:color w:val="auto"/>
          <w:sz w:val="21"/>
          <w:highlight w:val="none"/>
        </w:rPr>
        <w:t>”</w:t>
      </w:r>
      <w:r>
        <w:rPr>
          <w:rFonts w:hint="eastAsia" w:hAnsi="宋体" w:cs="宋体;SimSun"/>
          <w:color w:val="auto"/>
          <w:sz w:val="21"/>
          <w:highlight w:val="none"/>
        </w:rPr>
        <w:t>、</w:t>
      </w:r>
      <w:r>
        <w:rPr>
          <w:rFonts w:hint="eastAsia" w:hAnsi="宋体"/>
          <w:color w:val="auto"/>
          <w:sz w:val="21"/>
          <w:highlight w:val="none"/>
        </w:rPr>
        <w:t>“</w:t>
      </w:r>
      <w:r>
        <w:rPr>
          <w:rFonts w:hint="eastAsia" w:hAnsi="宋体" w:cs="宋体;SimSun"/>
          <w:color w:val="auto"/>
          <w:sz w:val="21"/>
          <w:highlight w:val="none"/>
        </w:rPr>
        <w:t>负偏离</w:t>
      </w:r>
      <w:r>
        <w:rPr>
          <w:rFonts w:hint="eastAsia" w:hAnsi="宋体"/>
          <w:color w:val="auto"/>
          <w:sz w:val="21"/>
          <w:highlight w:val="none"/>
        </w:rPr>
        <w:t>”</w:t>
      </w:r>
      <w:r>
        <w:rPr>
          <w:rFonts w:hint="eastAsia" w:hAnsi="宋体" w:cs="宋体;SimSun"/>
          <w:color w:val="auto"/>
          <w:sz w:val="21"/>
          <w:highlight w:val="none"/>
        </w:rPr>
        <w:t>或</w:t>
      </w:r>
      <w:r>
        <w:rPr>
          <w:rFonts w:hint="eastAsia" w:hAnsi="宋体"/>
          <w:color w:val="auto"/>
          <w:sz w:val="21"/>
          <w:highlight w:val="none"/>
        </w:rPr>
        <w:t>“</w:t>
      </w:r>
      <w:r>
        <w:rPr>
          <w:rFonts w:hint="eastAsia" w:hAnsi="宋体" w:cs="宋体;SimSun"/>
          <w:color w:val="auto"/>
          <w:sz w:val="21"/>
          <w:highlight w:val="none"/>
        </w:rPr>
        <w:t>无偏离</w:t>
      </w:r>
      <w:r>
        <w:rPr>
          <w:rFonts w:hint="eastAsia" w:hAnsi="宋体"/>
          <w:color w:val="auto"/>
          <w:sz w:val="21"/>
          <w:highlight w:val="none"/>
        </w:rPr>
        <w:t>”</w:t>
      </w:r>
      <w:r>
        <w:rPr>
          <w:rFonts w:hint="eastAsia" w:hAnsi="宋体" w:cs="宋体;SimSun"/>
          <w:color w:val="auto"/>
          <w:sz w:val="21"/>
          <w:highlight w:val="none"/>
        </w:rPr>
        <w:t>进行填写。</w:t>
      </w:r>
    </w:p>
    <w:p w14:paraId="4EE1C175">
      <w:pPr>
        <w:pStyle w:val="27"/>
        <w:spacing w:line="400" w:lineRule="exact"/>
        <w:rPr>
          <w:rFonts w:hAnsi="宋体"/>
          <w:color w:val="auto"/>
          <w:sz w:val="21"/>
          <w:highlight w:val="none"/>
          <w:u w:val="single"/>
        </w:rPr>
      </w:pPr>
    </w:p>
    <w:tbl>
      <w:tblPr>
        <w:tblStyle w:val="54"/>
        <w:tblW w:w="9483" w:type="dxa"/>
        <w:tblInd w:w="-20" w:type="dxa"/>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Layout w:type="fixed"/>
        <w:tblCellMar>
          <w:top w:w="0" w:type="dxa"/>
          <w:left w:w="103" w:type="dxa"/>
          <w:bottom w:w="0" w:type="dxa"/>
          <w:right w:w="108" w:type="dxa"/>
        </w:tblCellMar>
      </w:tblPr>
      <w:tblGrid>
        <w:gridCol w:w="680"/>
        <w:gridCol w:w="1573"/>
        <w:gridCol w:w="2275"/>
        <w:gridCol w:w="2674"/>
        <w:gridCol w:w="2281"/>
      </w:tblGrid>
      <w:tr w14:paraId="3197951C">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c>
          <w:tcPr>
            <w:tcW w:w="680" w:type="dxa"/>
            <w:tcMar>
              <w:left w:w="103" w:type="dxa"/>
            </w:tcMar>
            <w:vAlign w:val="center"/>
          </w:tcPr>
          <w:p w14:paraId="090123E2">
            <w:pPr>
              <w:pStyle w:val="27"/>
              <w:spacing w:line="400" w:lineRule="exact"/>
              <w:jc w:val="center"/>
              <w:rPr>
                <w:rFonts w:hAnsi="宋体" w:cs="宋体;SimSun"/>
                <w:color w:val="auto"/>
                <w:sz w:val="21"/>
                <w:highlight w:val="none"/>
              </w:rPr>
            </w:pPr>
            <w:r>
              <w:rPr>
                <w:rFonts w:hint="eastAsia" w:hAnsi="宋体" w:cs="宋体;SimSun"/>
                <w:color w:val="auto"/>
                <w:sz w:val="21"/>
                <w:highlight w:val="none"/>
              </w:rPr>
              <w:t>项号</w:t>
            </w:r>
          </w:p>
        </w:tc>
        <w:tc>
          <w:tcPr>
            <w:tcW w:w="1573" w:type="dxa"/>
            <w:tcBorders>
              <w:left w:val="single" w:color="000000" w:sz="4" w:space="0"/>
              <w:right w:val="single" w:color="000000" w:sz="4" w:space="0"/>
            </w:tcBorders>
            <w:tcMar>
              <w:left w:w="103" w:type="dxa"/>
            </w:tcMar>
            <w:vAlign w:val="center"/>
          </w:tcPr>
          <w:p w14:paraId="0CE9B5D0">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项目内容</w:t>
            </w:r>
          </w:p>
        </w:tc>
        <w:tc>
          <w:tcPr>
            <w:tcW w:w="2275" w:type="dxa"/>
            <w:tcBorders>
              <w:left w:val="single" w:color="000000" w:sz="4" w:space="0"/>
            </w:tcBorders>
            <w:tcMar>
              <w:left w:w="103" w:type="dxa"/>
            </w:tcMar>
            <w:vAlign w:val="center"/>
          </w:tcPr>
          <w:p w14:paraId="0ECB0473">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竞争性磋商文件要求</w:t>
            </w:r>
          </w:p>
        </w:tc>
        <w:tc>
          <w:tcPr>
            <w:tcW w:w="2674" w:type="dxa"/>
            <w:tcBorders>
              <w:left w:val="single" w:color="000000" w:sz="4" w:space="0"/>
            </w:tcBorders>
            <w:tcMar>
              <w:left w:w="103" w:type="dxa"/>
            </w:tcMar>
            <w:vAlign w:val="center"/>
          </w:tcPr>
          <w:p w14:paraId="741DE21F">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响应供应商的承诺或说明</w:t>
            </w:r>
          </w:p>
        </w:tc>
        <w:tc>
          <w:tcPr>
            <w:tcW w:w="2281" w:type="dxa"/>
            <w:tcBorders>
              <w:left w:val="single" w:color="000000" w:sz="4" w:space="0"/>
              <w:right w:val="single" w:color="000000" w:sz="4" w:space="0"/>
            </w:tcBorders>
            <w:tcMar>
              <w:left w:w="103" w:type="dxa"/>
            </w:tcMar>
            <w:vAlign w:val="center"/>
          </w:tcPr>
          <w:p w14:paraId="677AFE2D">
            <w:pPr>
              <w:snapToGrid w:val="0"/>
              <w:spacing w:before="156" w:beforeLines="50" w:line="360" w:lineRule="exact"/>
              <w:jc w:val="center"/>
              <w:rPr>
                <w:rFonts w:ascii="宋体" w:hAnsi="宋体"/>
                <w:color w:val="auto"/>
                <w:szCs w:val="21"/>
                <w:highlight w:val="none"/>
              </w:rPr>
            </w:pPr>
            <w:r>
              <w:rPr>
                <w:rFonts w:hint="eastAsia" w:ascii="宋体" w:hAnsi="宋体"/>
                <w:color w:val="auto"/>
                <w:szCs w:val="21"/>
                <w:highlight w:val="none"/>
              </w:rPr>
              <w:t>偏离说明</w:t>
            </w:r>
          </w:p>
        </w:tc>
      </w:tr>
      <w:tr w14:paraId="74C2765B">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124D4958">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1</w:t>
            </w:r>
          </w:p>
        </w:tc>
        <w:tc>
          <w:tcPr>
            <w:tcW w:w="1573" w:type="dxa"/>
            <w:tcBorders>
              <w:left w:val="single" w:color="000000" w:sz="4" w:space="0"/>
              <w:right w:val="single" w:color="000000" w:sz="4" w:space="0"/>
            </w:tcBorders>
            <w:tcMar>
              <w:left w:w="103" w:type="dxa"/>
            </w:tcMar>
            <w:vAlign w:val="center"/>
          </w:tcPr>
          <w:p w14:paraId="5BB039B3">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项目服务地点及服务期</w:t>
            </w:r>
          </w:p>
        </w:tc>
        <w:tc>
          <w:tcPr>
            <w:tcW w:w="2275" w:type="dxa"/>
            <w:tcBorders>
              <w:left w:val="single" w:color="000000" w:sz="4" w:space="0"/>
            </w:tcBorders>
            <w:tcMar>
              <w:left w:w="103" w:type="dxa"/>
            </w:tcMar>
            <w:vAlign w:val="center"/>
          </w:tcPr>
          <w:p w14:paraId="28E40B90">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1552588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13349494">
            <w:pPr>
              <w:spacing w:line="400" w:lineRule="exact"/>
              <w:jc w:val="center"/>
              <w:rPr>
                <w:rFonts w:ascii="宋体" w:hAnsi="宋体" w:cs="宋体;SimSun"/>
                <w:color w:val="auto"/>
                <w:kern w:val="0"/>
                <w:szCs w:val="21"/>
                <w:highlight w:val="none"/>
              </w:rPr>
            </w:pPr>
          </w:p>
        </w:tc>
      </w:tr>
      <w:tr w14:paraId="52567DD2">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FDB06AE">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2</w:t>
            </w:r>
          </w:p>
        </w:tc>
        <w:tc>
          <w:tcPr>
            <w:tcW w:w="1573" w:type="dxa"/>
            <w:tcBorders>
              <w:left w:val="single" w:color="000000" w:sz="4" w:space="0"/>
              <w:right w:val="single" w:color="000000" w:sz="4" w:space="0"/>
            </w:tcBorders>
            <w:tcMar>
              <w:left w:w="103" w:type="dxa"/>
            </w:tcMar>
            <w:vAlign w:val="center"/>
          </w:tcPr>
          <w:p w14:paraId="41BC5435">
            <w:pPr>
              <w:widowControl w:val="0"/>
              <w:snapToGrid w:val="0"/>
              <w:spacing w:line="400" w:lineRule="exact"/>
              <w:jc w:val="center"/>
              <w:rPr>
                <w:rFonts w:ascii="宋体" w:hAnsi="宋体" w:cs="宋体;SimSun"/>
                <w:color w:val="auto"/>
                <w:kern w:val="0"/>
                <w:szCs w:val="21"/>
                <w:highlight w:val="none"/>
              </w:rPr>
            </w:pPr>
            <w:r>
              <w:rPr>
                <w:rFonts w:ascii="Calibri" w:hAnsi="Calibri"/>
                <w:color w:val="auto"/>
                <w:szCs w:val="21"/>
                <w:highlight w:val="none"/>
              </w:rPr>
              <w:t>合同签订</w:t>
            </w:r>
            <w:r>
              <w:rPr>
                <w:rFonts w:hint="eastAsia" w:ascii="Calibri" w:hAnsi="Calibri"/>
                <w:color w:val="auto"/>
                <w:szCs w:val="21"/>
                <w:highlight w:val="none"/>
              </w:rPr>
              <w:t>期限</w:t>
            </w:r>
          </w:p>
        </w:tc>
        <w:tc>
          <w:tcPr>
            <w:tcW w:w="2275" w:type="dxa"/>
            <w:tcBorders>
              <w:left w:val="single" w:color="000000" w:sz="4" w:space="0"/>
            </w:tcBorders>
            <w:tcMar>
              <w:left w:w="103" w:type="dxa"/>
            </w:tcMar>
            <w:vAlign w:val="center"/>
          </w:tcPr>
          <w:p w14:paraId="170EDED2">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4EC87A3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277C43E">
            <w:pPr>
              <w:spacing w:line="400" w:lineRule="exact"/>
              <w:jc w:val="center"/>
              <w:rPr>
                <w:rFonts w:ascii="宋体" w:hAnsi="宋体" w:cs="宋体;SimSun"/>
                <w:color w:val="auto"/>
                <w:kern w:val="0"/>
                <w:szCs w:val="21"/>
                <w:highlight w:val="none"/>
              </w:rPr>
            </w:pPr>
          </w:p>
        </w:tc>
      </w:tr>
      <w:tr w14:paraId="28EAA455">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46E65CEA">
            <w:pPr>
              <w:spacing w:line="400" w:lineRule="exact"/>
              <w:jc w:val="center"/>
              <w:rPr>
                <w:rFonts w:ascii="宋体" w:hAnsi="宋体" w:cs="宋体;SimSun"/>
                <w:color w:val="auto"/>
                <w:kern w:val="0"/>
                <w:szCs w:val="21"/>
                <w:highlight w:val="none"/>
              </w:rPr>
            </w:pPr>
            <w:r>
              <w:rPr>
                <w:rFonts w:hint="eastAsia" w:ascii="宋体" w:hAnsi="宋体" w:cs="宋体;SimSun"/>
                <w:color w:val="auto"/>
                <w:kern w:val="0"/>
                <w:szCs w:val="21"/>
                <w:highlight w:val="none"/>
              </w:rPr>
              <w:t>3</w:t>
            </w:r>
          </w:p>
        </w:tc>
        <w:tc>
          <w:tcPr>
            <w:tcW w:w="1573" w:type="dxa"/>
            <w:tcBorders>
              <w:left w:val="single" w:color="000000" w:sz="4" w:space="0"/>
              <w:right w:val="single" w:color="000000" w:sz="4" w:space="0"/>
            </w:tcBorders>
            <w:tcMar>
              <w:left w:w="103" w:type="dxa"/>
            </w:tcMar>
            <w:vAlign w:val="center"/>
          </w:tcPr>
          <w:p w14:paraId="194850FF">
            <w:pPr>
              <w:widowControl w:val="0"/>
              <w:snapToGrid w:val="0"/>
              <w:spacing w:line="400" w:lineRule="exact"/>
              <w:jc w:val="center"/>
              <w:rPr>
                <w:rFonts w:ascii="宋体" w:hAnsi="宋体" w:cs="宋体;SimSun"/>
                <w:color w:val="auto"/>
                <w:kern w:val="0"/>
                <w:szCs w:val="21"/>
                <w:highlight w:val="none"/>
              </w:rPr>
            </w:pPr>
            <w:r>
              <w:rPr>
                <w:rFonts w:hint="eastAsia" w:ascii="Calibri" w:hAnsi="Calibri"/>
                <w:color w:val="auto"/>
                <w:szCs w:val="21"/>
                <w:highlight w:val="none"/>
              </w:rPr>
              <w:t>报价要求</w:t>
            </w:r>
          </w:p>
        </w:tc>
        <w:tc>
          <w:tcPr>
            <w:tcW w:w="2275" w:type="dxa"/>
            <w:tcBorders>
              <w:left w:val="single" w:color="000000" w:sz="4" w:space="0"/>
            </w:tcBorders>
            <w:tcMar>
              <w:left w:w="103" w:type="dxa"/>
            </w:tcMar>
            <w:vAlign w:val="center"/>
          </w:tcPr>
          <w:p w14:paraId="54D57E1F">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25555228">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AEE2EE9">
            <w:pPr>
              <w:spacing w:line="400" w:lineRule="exact"/>
              <w:jc w:val="center"/>
              <w:rPr>
                <w:rFonts w:ascii="宋体" w:hAnsi="宋体" w:cs="宋体;SimSun"/>
                <w:color w:val="auto"/>
                <w:kern w:val="0"/>
                <w:szCs w:val="21"/>
                <w:highlight w:val="none"/>
              </w:rPr>
            </w:pPr>
          </w:p>
        </w:tc>
      </w:tr>
      <w:tr w14:paraId="114E7DAE">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6318FCF">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4</w:t>
            </w:r>
          </w:p>
        </w:tc>
        <w:tc>
          <w:tcPr>
            <w:tcW w:w="1573" w:type="dxa"/>
            <w:tcBorders>
              <w:left w:val="single" w:color="000000" w:sz="4" w:space="0"/>
              <w:right w:val="single" w:color="000000" w:sz="4" w:space="0"/>
            </w:tcBorders>
            <w:tcMar>
              <w:left w:w="103" w:type="dxa"/>
            </w:tcMar>
            <w:vAlign w:val="center"/>
          </w:tcPr>
          <w:p w14:paraId="429AA364">
            <w:pPr>
              <w:widowControl w:val="0"/>
              <w:spacing w:line="400" w:lineRule="exact"/>
              <w:jc w:val="center"/>
              <w:rPr>
                <w:rFonts w:ascii="宋体" w:hAnsi="宋体" w:cs="宋体;SimSun"/>
                <w:color w:val="auto"/>
                <w:kern w:val="0"/>
                <w:szCs w:val="21"/>
                <w:highlight w:val="none"/>
              </w:rPr>
            </w:pPr>
            <w:r>
              <w:rPr>
                <w:color w:val="auto"/>
                <w:szCs w:val="21"/>
                <w:highlight w:val="none"/>
              </w:rPr>
              <w:t>付款条件</w:t>
            </w:r>
          </w:p>
        </w:tc>
        <w:tc>
          <w:tcPr>
            <w:tcW w:w="2275" w:type="dxa"/>
            <w:tcBorders>
              <w:left w:val="single" w:color="000000" w:sz="4" w:space="0"/>
            </w:tcBorders>
            <w:tcMar>
              <w:left w:w="103" w:type="dxa"/>
            </w:tcMar>
            <w:vAlign w:val="center"/>
          </w:tcPr>
          <w:p w14:paraId="6A06CDAB">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0DEAC7B6">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70C4EF59">
            <w:pPr>
              <w:spacing w:line="400" w:lineRule="exact"/>
              <w:jc w:val="center"/>
              <w:rPr>
                <w:rFonts w:ascii="宋体" w:hAnsi="宋体" w:cs="宋体;SimSun"/>
                <w:color w:val="auto"/>
                <w:kern w:val="0"/>
                <w:szCs w:val="21"/>
                <w:highlight w:val="none"/>
              </w:rPr>
            </w:pPr>
          </w:p>
        </w:tc>
      </w:tr>
      <w:tr w14:paraId="44878787">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7ADC4084">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5</w:t>
            </w:r>
          </w:p>
        </w:tc>
        <w:tc>
          <w:tcPr>
            <w:tcW w:w="1573" w:type="dxa"/>
            <w:tcBorders>
              <w:left w:val="single" w:color="000000" w:sz="4" w:space="0"/>
              <w:right w:val="single" w:color="000000" w:sz="4" w:space="0"/>
            </w:tcBorders>
            <w:tcMar>
              <w:left w:w="103" w:type="dxa"/>
            </w:tcMar>
            <w:vAlign w:val="center"/>
          </w:tcPr>
          <w:p w14:paraId="39A1DA1C">
            <w:pPr>
              <w:widowControl w:val="0"/>
              <w:spacing w:line="400" w:lineRule="exact"/>
              <w:jc w:val="center"/>
              <w:rPr>
                <w:rFonts w:ascii="宋体" w:hAnsi="宋体" w:cs="宋体;SimSun"/>
                <w:color w:val="auto"/>
                <w:kern w:val="0"/>
                <w:szCs w:val="21"/>
                <w:highlight w:val="none"/>
              </w:rPr>
            </w:pPr>
            <w:r>
              <w:rPr>
                <w:rFonts w:hint="eastAsia"/>
                <w:color w:val="auto"/>
                <w:szCs w:val="21"/>
                <w:highlight w:val="none"/>
              </w:rPr>
              <w:t>版权要求</w:t>
            </w:r>
          </w:p>
        </w:tc>
        <w:tc>
          <w:tcPr>
            <w:tcW w:w="2275" w:type="dxa"/>
            <w:tcBorders>
              <w:left w:val="single" w:color="000000" w:sz="4" w:space="0"/>
            </w:tcBorders>
            <w:tcMar>
              <w:left w:w="103" w:type="dxa"/>
            </w:tcMar>
            <w:vAlign w:val="center"/>
          </w:tcPr>
          <w:p w14:paraId="2A098113">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58CD8F20">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08E2D04C">
            <w:pPr>
              <w:spacing w:line="400" w:lineRule="exact"/>
              <w:jc w:val="center"/>
              <w:rPr>
                <w:rFonts w:ascii="宋体" w:hAnsi="宋体" w:cs="宋体;SimSun"/>
                <w:color w:val="auto"/>
                <w:kern w:val="0"/>
                <w:szCs w:val="21"/>
                <w:highlight w:val="none"/>
              </w:rPr>
            </w:pPr>
          </w:p>
        </w:tc>
      </w:tr>
      <w:tr w14:paraId="3EB725BD">
        <w:tblPrEx>
          <w:tblBorders>
            <w:top w:val="single" w:color="000000" w:sz="4" w:space="0"/>
            <w:left w:val="single" w:color="000000" w:sz="4" w:space="0"/>
            <w:bottom w:val="single" w:color="000000" w:sz="4" w:space="0"/>
            <w:right w:val="none" w:color="auto" w:sz="0" w:space="0"/>
            <w:insideH w:val="single" w:color="000000" w:sz="4" w:space="0"/>
            <w:insideV w:val="none" w:color="auto" w:sz="0" w:space="0"/>
          </w:tblBorders>
          <w:tblCellMar>
            <w:top w:w="0" w:type="dxa"/>
            <w:left w:w="103" w:type="dxa"/>
            <w:bottom w:w="0" w:type="dxa"/>
            <w:right w:w="108" w:type="dxa"/>
          </w:tblCellMar>
        </w:tblPrEx>
        <w:trPr>
          <w:trHeight w:val="567" w:hRule="atLeast"/>
        </w:trPr>
        <w:tc>
          <w:tcPr>
            <w:tcW w:w="680" w:type="dxa"/>
            <w:tcMar>
              <w:left w:w="103" w:type="dxa"/>
            </w:tcMar>
            <w:vAlign w:val="center"/>
          </w:tcPr>
          <w:p w14:paraId="2C06BD9B">
            <w:pPr>
              <w:spacing w:line="400" w:lineRule="exact"/>
              <w:jc w:val="center"/>
              <w:rPr>
                <w:rFonts w:hint="eastAsia" w:ascii="宋体" w:hAnsi="宋体" w:eastAsia="宋体" w:cs="宋体;SimSun"/>
                <w:color w:val="auto"/>
                <w:kern w:val="0"/>
                <w:szCs w:val="21"/>
                <w:highlight w:val="none"/>
                <w:lang w:eastAsia="zh-CN"/>
              </w:rPr>
            </w:pPr>
            <w:r>
              <w:rPr>
                <w:rFonts w:hint="eastAsia" w:ascii="宋体" w:hAnsi="宋体" w:cs="宋体;SimSun"/>
                <w:color w:val="auto"/>
                <w:kern w:val="0"/>
                <w:szCs w:val="21"/>
                <w:highlight w:val="none"/>
                <w:lang w:val="en-US" w:eastAsia="zh-CN"/>
              </w:rPr>
              <w:t>6</w:t>
            </w:r>
          </w:p>
        </w:tc>
        <w:tc>
          <w:tcPr>
            <w:tcW w:w="1573" w:type="dxa"/>
            <w:tcBorders>
              <w:left w:val="single" w:color="000000" w:sz="4" w:space="0"/>
              <w:right w:val="single" w:color="000000" w:sz="4" w:space="0"/>
            </w:tcBorders>
            <w:tcMar>
              <w:left w:w="103" w:type="dxa"/>
            </w:tcMar>
            <w:vAlign w:val="center"/>
          </w:tcPr>
          <w:p w14:paraId="4FC96CC6">
            <w:pPr>
              <w:widowControl w:val="0"/>
              <w:spacing w:line="400" w:lineRule="exact"/>
              <w:jc w:val="center"/>
              <w:rPr>
                <w:color w:val="auto"/>
                <w:szCs w:val="21"/>
                <w:highlight w:val="none"/>
              </w:rPr>
            </w:pPr>
            <w:r>
              <w:rPr>
                <w:rFonts w:hint="eastAsia"/>
                <w:color w:val="auto"/>
                <w:szCs w:val="21"/>
                <w:highlight w:val="none"/>
              </w:rPr>
              <w:t>其他</w:t>
            </w:r>
          </w:p>
        </w:tc>
        <w:tc>
          <w:tcPr>
            <w:tcW w:w="2275" w:type="dxa"/>
            <w:tcBorders>
              <w:left w:val="single" w:color="000000" w:sz="4" w:space="0"/>
            </w:tcBorders>
            <w:tcMar>
              <w:left w:w="103" w:type="dxa"/>
            </w:tcMar>
            <w:vAlign w:val="center"/>
          </w:tcPr>
          <w:p w14:paraId="638BCECC">
            <w:pPr>
              <w:spacing w:line="400" w:lineRule="exact"/>
              <w:jc w:val="center"/>
              <w:rPr>
                <w:rFonts w:ascii="宋体" w:hAnsi="宋体" w:cs="宋体;SimSun"/>
                <w:color w:val="auto"/>
                <w:kern w:val="0"/>
                <w:szCs w:val="21"/>
                <w:highlight w:val="none"/>
              </w:rPr>
            </w:pPr>
          </w:p>
        </w:tc>
        <w:tc>
          <w:tcPr>
            <w:tcW w:w="2674" w:type="dxa"/>
            <w:tcBorders>
              <w:left w:val="single" w:color="000000" w:sz="4" w:space="0"/>
            </w:tcBorders>
            <w:tcMar>
              <w:left w:w="103" w:type="dxa"/>
            </w:tcMar>
            <w:vAlign w:val="center"/>
          </w:tcPr>
          <w:p w14:paraId="6C0F74B7">
            <w:pPr>
              <w:spacing w:line="400" w:lineRule="exact"/>
              <w:jc w:val="center"/>
              <w:rPr>
                <w:rFonts w:ascii="宋体" w:hAnsi="宋体" w:cs="宋体;SimSun"/>
                <w:color w:val="auto"/>
                <w:kern w:val="0"/>
                <w:szCs w:val="21"/>
                <w:highlight w:val="none"/>
              </w:rPr>
            </w:pPr>
          </w:p>
        </w:tc>
        <w:tc>
          <w:tcPr>
            <w:tcW w:w="2281" w:type="dxa"/>
            <w:tcBorders>
              <w:left w:val="single" w:color="000000" w:sz="4" w:space="0"/>
              <w:right w:val="single" w:color="000000" w:sz="4" w:space="0"/>
            </w:tcBorders>
            <w:tcMar>
              <w:left w:w="103" w:type="dxa"/>
            </w:tcMar>
            <w:vAlign w:val="center"/>
          </w:tcPr>
          <w:p w14:paraId="66BCCF3E">
            <w:pPr>
              <w:spacing w:line="400" w:lineRule="exact"/>
              <w:jc w:val="center"/>
              <w:rPr>
                <w:rFonts w:ascii="宋体" w:hAnsi="宋体" w:cs="宋体;SimSun"/>
                <w:color w:val="auto"/>
                <w:kern w:val="0"/>
                <w:szCs w:val="21"/>
                <w:highlight w:val="none"/>
              </w:rPr>
            </w:pPr>
          </w:p>
        </w:tc>
      </w:tr>
    </w:tbl>
    <w:p w14:paraId="4AF0640B">
      <w:pPr>
        <w:spacing w:line="400" w:lineRule="exact"/>
        <w:jc w:val="center"/>
        <w:rPr>
          <w:rFonts w:ascii="宋体" w:hAnsi="宋体" w:cs="宋体;SimSun"/>
          <w:color w:val="auto"/>
          <w:kern w:val="0"/>
          <w:szCs w:val="21"/>
          <w:highlight w:val="none"/>
        </w:rPr>
      </w:pPr>
    </w:p>
    <w:p w14:paraId="036A2D1D">
      <w:pPr>
        <w:pStyle w:val="27"/>
        <w:spacing w:line="400" w:lineRule="exact"/>
        <w:rPr>
          <w:rFonts w:hAnsi="宋体"/>
          <w:color w:val="auto"/>
          <w:highlight w:val="none"/>
        </w:rPr>
      </w:pPr>
    </w:p>
    <w:p w14:paraId="2AEBDCAE">
      <w:pPr>
        <w:pStyle w:val="27"/>
        <w:spacing w:line="400" w:lineRule="exact"/>
        <w:rPr>
          <w:rFonts w:hAnsi="宋体"/>
          <w:color w:val="auto"/>
          <w:highlight w:val="none"/>
        </w:rPr>
      </w:pPr>
    </w:p>
    <w:p w14:paraId="63BCE19F">
      <w:pPr>
        <w:pStyle w:val="27"/>
        <w:spacing w:line="400" w:lineRule="exact"/>
        <w:rPr>
          <w:rFonts w:hAnsi="宋体"/>
          <w:color w:val="auto"/>
          <w:highlight w:val="none"/>
        </w:rPr>
      </w:pPr>
    </w:p>
    <w:bookmarkEnd w:id="43"/>
    <w:bookmarkEnd w:id="44"/>
    <w:p w14:paraId="0317D526">
      <w:pPr>
        <w:pStyle w:val="27"/>
        <w:spacing w:line="400" w:lineRule="exact"/>
        <w:rPr>
          <w:rFonts w:hAnsi="宋体"/>
          <w:color w:val="auto"/>
          <w:sz w:val="21"/>
          <w:highlight w:val="none"/>
        </w:rPr>
      </w:pPr>
      <w:r>
        <w:rPr>
          <w:rFonts w:hint="eastAsia" w:hAnsi="宋体" w:cs="宋体;SimSun"/>
          <w:color w:val="auto"/>
          <w:sz w:val="21"/>
          <w:highlight w:val="none"/>
        </w:rPr>
        <w:t>供应商名称（盖单位公章）：</w:t>
      </w:r>
      <w:r>
        <w:rPr>
          <w:rFonts w:hAnsi="宋体"/>
          <w:color w:val="auto"/>
          <w:sz w:val="21"/>
          <w:highlight w:val="none"/>
          <w:u w:val="single"/>
        </w:rPr>
        <w:t xml:space="preserve">                                    </w:t>
      </w:r>
    </w:p>
    <w:p w14:paraId="05D11905">
      <w:pPr>
        <w:pStyle w:val="27"/>
        <w:spacing w:line="400" w:lineRule="exact"/>
        <w:rPr>
          <w:rFonts w:hAnsi="宋体"/>
          <w:color w:val="auto"/>
          <w:sz w:val="21"/>
          <w:highlight w:val="none"/>
          <w:u w:val="single"/>
        </w:rPr>
      </w:pPr>
    </w:p>
    <w:p w14:paraId="723ABE6D">
      <w:pPr>
        <w:pStyle w:val="27"/>
        <w:spacing w:line="400" w:lineRule="exact"/>
        <w:rPr>
          <w:rFonts w:hAnsi="宋体"/>
          <w:color w:val="auto"/>
          <w:sz w:val="21"/>
          <w:highlight w:val="none"/>
        </w:rPr>
      </w:pPr>
      <w:r>
        <w:rPr>
          <w:rFonts w:hint="eastAsia" w:hAnsi="宋体" w:cs="宋体;SimSun"/>
          <w:color w:val="auto"/>
          <w:sz w:val="21"/>
          <w:highlight w:val="none"/>
        </w:rPr>
        <w:t>法定代表人或其委托代理人（签字或盖章）：</w:t>
      </w:r>
      <w:r>
        <w:rPr>
          <w:rFonts w:hAnsi="宋体"/>
          <w:color w:val="auto"/>
          <w:sz w:val="21"/>
          <w:highlight w:val="none"/>
          <w:u w:val="single"/>
        </w:rPr>
        <w:t xml:space="preserve">                  </w:t>
      </w:r>
    </w:p>
    <w:p w14:paraId="2158787D">
      <w:pPr>
        <w:pStyle w:val="27"/>
        <w:spacing w:line="480" w:lineRule="exact"/>
        <w:rPr>
          <w:rFonts w:hAnsi="宋体"/>
          <w:color w:val="auto"/>
          <w:sz w:val="21"/>
          <w:highlight w:val="none"/>
          <w:u w:val="single"/>
        </w:rPr>
      </w:pPr>
    </w:p>
    <w:p w14:paraId="143479A6">
      <w:pPr>
        <w:pStyle w:val="27"/>
        <w:spacing w:line="520" w:lineRule="exact"/>
        <w:jc w:val="center"/>
        <w:rPr>
          <w:rFonts w:hAnsi="宋体" w:cs="宋体;SimSun"/>
          <w:b/>
          <w:bCs/>
          <w:color w:val="auto"/>
          <w:sz w:val="21"/>
          <w:highlight w:val="none"/>
        </w:rPr>
      </w:pPr>
      <w:r>
        <w:rPr>
          <w:bCs/>
          <w:color w:val="auto"/>
          <w:sz w:val="21"/>
          <w:highlight w:val="none"/>
          <w:u w:val="single"/>
        </w:rPr>
        <w:t xml:space="preserve">    </w:t>
      </w:r>
      <w:r>
        <w:rPr>
          <w:rFonts w:hint="eastAsia"/>
          <w:bCs/>
          <w:color w:val="auto"/>
          <w:sz w:val="21"/>
          <w:highlight w:val="none"/>
        </w:rPr>
        <w:t>年</w:t>
      </w:r>
      <w:r>
        <w:rPr>
          <w:bCs/>
          <w:color w:val="auto"/>
          <w:sz w:val="21"/>
          <w:highlight w:val="none"/>
          <w:u w:val="single"/>
        </w:rPr>
        <w:t xml:space="preserve">    </w:t>
      </w:r>
      <w:r>
        <w:rPr>
          <w:rFonts w:hint="eastAsia"/>
          <w:bCs/>
          <w:color w:val="auto"/>
          <w:sz w:val="21"/>
          <w:highlight w:val="none"/>
        </w:rPr>
        <w:t>月</w:t>
      </w:r>
      <w:r>
        <w:rPr>
          <w:bCs/>
          <w:color w:val="auto"/>
          <w:sz w:val="21"/>
          <w:highlight w:val="none"/>
          <w:u w:val="single"/>
        </w:rPr>
        <w:t xml:space="preserve">    </w:t>
      </w:r>
      <w:r>
        <w:rPr>
          <w:rFonts w:hint="eastAsia"/>
          <w:bCs/>
          <w:color w:val="auto"/>
          <w:sz w:val="21"/>
          <w:highlight w:val="none"/>
        </w:rPr>
        <w:t>日</w:t>
      </w:r>
    </w:p>
    <w:p w14:paraId="06661668">
      <w:pPr>
        <w:ind w:firstLine="435"/>
        <w:rPr>
          <w:color w:val="auto"/>
          <w:szCs w:val="21"/>
          <w:highlight w:val="none"/>
        </w:rPr>
      </w:pPr>
    </w:p>
    <w:p w14:paraId="36A07191">
      <w:pPr>
        <w:ind w:firstLine="435"/>
        <w:rPr>
          <w:color w:val="auto"/>
          <w:szCs w:val="21"/>
          <w:highlight w:val="none"/>
        </w:rPr>
      </w:pPr>
    </w:p>
    <w:p w14:paraId="346B9212">
      <w:pPr>
        <w:ind w:firstLine="435"/>
        <w:rPr>
          <w:color w:val="auto"/>
          <w:szCs w:val="21"/>
          <w:highlight w:val="none"/>
        </w:rPr>
      </w:pPr>
    </w:p>
    <w:p w14:paraId="40C4189D">
      <w:pPr>
        <w:ind w:firstLine="435"/>
        <w:rPr>
          <w:color w:val="auto"/>
          <w:szCs w:val="21"/>
          <w:highlight w:val="none"/>
        </w:rPr>
      </w:pPr>
    </w:p>
    <w:p w14:paraId="14D4D7C7">
      <w:pPr>
        <w:pStyle w:val="52"/>
        <w:ind w:firstLine="200"/>
        <w:rPr>
          <w:color w:val="auto"/>
          <w:highlight w:val="none"/>
        </w:rPr>
      </w:pPr>
    </w:p>
    <w:p w14:paraId="1DD97AB5">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 xml:space="preserve"> </w:t>
      </w:r>
    </w:p>
    <w:p w14:paraId="20C6654E">
      <w:pPr>
        <w:spacing w:line="360" w:lineRule="auto"/>
        <w:ind w:firstLine="636" w:firstLineChars="198"/>
        <w:jc w:val="center"/>
        <w:rPr>
          <w:rFonts w:hAnsi="宋体" w:cs="宋体;SimSun"/>
          <w:b/>
          <w:bCs/>
          <w:color w:val="auto"/>
          <w:sz w:val="32"/>
          <w:szCs w:val="32"/>
          <w:highlight w:val="none"/>
        </w:rPr>
      </w:pPr>
      <w:r>
        <w:rPr>
          <w:rFonts w:hint="eastAsia" w:hAnsi="宋体" w:cs="宋体;SimSun"/>
          <w:b/>
          <w:bCs/>
          <w:color w:val="auto"/>
          <w:sz w:val="32"/>
          <w:szCs w:val="32"/>
          <w:highlight w:val="none"/>
        </w:rPr>
        <w:t>供应商直接控股股东信息（格式）</w:t>
      </w:r>
    </w:p>
    <w:p w14:paraId="367BA704">
      <w:pPr>
        <w:spacing w:line="360" w:lineRule="auto"/>
        <w:jc w:val="center"/>
        <w:rPr>
          <w:rFonts w:ascii="宋体" w:hAnsi="宋体"/>
          <w:b/>
          <w:color w:val="auto"/>
          <w:sz w:val="24"/>
          <w:highlight w:val="none"/>
        </w:rPr>
      </w:pPr>
    </w:p>
    <w:tbl>
      <w:tblPr>
        <w:tblStyle w:val="54"/>
        <w:tblW w:w="10147" w:type="dxa"/>
        <w:jc w:val="center"/>
        <w:shd w:val="clear" w:color="auto" w:fill="FBFBFB"/>
        <w:tblLayout w:type="fixed"/>
        <w:tblCellMar>
          <w:top w:w="0" w:type="dxa"/>
          <w:left w:w="0" w:type="dxa"/>
          <w:bottom w:w="0" w:type="dxa"/>
          <w:right w:w="0" w:type="dxa"/>
        </w:tblCellMar>
      </w:tblPr>
      <w:tblGrid>
        <w:gridCol w:w="880"/>
        <w:gridCol w:w="2655"/>
        <w:gridCol w:w="1455"/>
        <w:gridCol w:w="4287"/>
        <w:gridCol w:w="870"/>
      </w:tblGrid>
      <w:tr w14:paraId="573E3464">
        <w:tblPrEx>
          <w:shd w:val="clear" w:color="auto" w:fill="FBFBFB"/>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34CB3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7675562">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D99F3A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C8272BF">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D7883B">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1ABF1389">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E34B77B">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635D90F">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1E8E17">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B2E905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B980F3F">
            <w:pPr>
              <w:spacing w:line="360" w:lineRule="auto"/>
              <w:jc w:val="center"/>
              <w:rPr>
                <w:rFonts w:ascii="宋体" w:hAnsi="宋体" w:cs="宋体"/>
                <w:color w:val="auto"/>
                <w:kern w:val="0"/>
                <w:szCs w:val="21"/>
                <w:highlight w:val="none"/>
              </w:rPr>
            </w:pPr>
          </w:p>
        </w:tc>
      </w:tr>
      <w:tr w14:paraId="39DBA654">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F3EC69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522BD">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733258C">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E032234">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B642F7F">
            <w:pPr>
              <w:spacing w:line="360" w:lineRule="auto"/>
              <w:jc w:val="center"/>
              <w:rPr>
                <w:rFonts w:ascii="宋体" w:hAnsi="宋体" w:cs="宋体"/>
                <w:color w:val="auto"/>
                <w:kern w:val="0"/>
                <w:szCs w:val="21"/>
                <w:highlight w:val="none"/>
              </w:rPr>
            </w:pPr>
          </w:p>
        </w:tc>
      </w:tr>
      <w:tr w14:paraId="4D002A33">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E01927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80361B5">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45B9872">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D144A65">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AC62ABD">
            <w:pPr>
              <w:spacing w:line="360" w:lineRule="auto"/>
              <w:jc w:val="center"/>
              <w:rPr>
                <w:rFonts w:ascii="宋体" w:hAnsi="宋体" w:cs="宋体"/>
                <w:color w:val="auto"/>
                <w:kern w:val="0"/>
                <w:szCs w:val="21"/>
                <w:highlight w:val="none"/>
              </w:rPr>
            </w:pPr>
          </w:p>
        </w:tc>
      </w:tr>
      <w:tr w14:paraId="4B3A8D20">
        <w:tblPrEx>
          <w:shd w:val="clear" w:color="auto" w:fill="FBFBFB"/>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DC2E9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26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73B7BB">
            <w:pPr>
              <w:spacing w:line="360" w:lineRule="auto"/>
              <w:jc w:val="center"/>
              <w:rPr>
                <w:rFonts w:ascii="宋体" w:hAnsi="宋体" w:cs="宋体"/>
                <w:color w:val="auto"/>
                <w:kern w:val="0"/>
                <w:szCs w:val="21"/>
                <w:highlight w:val="none"/>
              </w:rPr>
            </w:pPr>
          </w:p>
        </w:tc>
        <w:tc>
          <w:tcPr>
            <w:tcW w:w="14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082948A">
            <w:pPr>
              <w:spacing w:line="360" w:lineRule="auto"/>
              <w:jc w:val="center"/>
              <w:rPr>
                <w:rFonts w:ascii="宋体" w:hAnsi="宋体" w:cs="宋体"/>
                <w:color w:val="auto"/>
                <w:kern w:val="0"/>
                <w:szCs w:val="21"/>
                <w:highlight w:val="none"/>
              </w:rPr>
            </w:pPr>
          </w:p>
        </w:tc>
        <w:tc>
          <w:tcPr>
            <w:tcW w:w="4287"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4775B1F">
            <w:pPr>
              <w:spacing w:line="360" w:lineRule="auto"/>
              <w:jc w:val="center"/>
              <w:rPr>
                <w:rFonts w:ascii="宋体" w:hAnsi="宋体" w:cs="宋体"/>
                <w:color w:val="auto"/>
                <w:kern w:val="0"/>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D6DDFEA">
            <w:pPr>
              <w:spacing w:line="360" w:lineRule="auto"/>
              <w:jc w:val="center"/>
              <w:rPr>
                <w:rFonts w:ascii="宋体" w:hAnsi="宋体" w:cs="宋体"/>
                <w:color w:val="auto"/>
                <w:kern w:val="0"/>
                <w:szCs w:val="21"/>
                <w:highlight w:val="none"/>
              </w:rPr>
            </w:pPr>
          </w:p>
        </w:tc>
      </w:tr>
    </w:tbl>
    <w:p w14:paraId="784F383A">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CED940E">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DB63DD0">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2.本表所指的控股关系仅限于直接控股关系，不包括间接的控股关系。公司实际控制人与公司之间的关系不属于本表所指的直接控股关系。</w:t>
      </w:r>
    </w:p>
    <w:p w14:paraId="0552539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3.供应商不存在直接控股股东的，则填“无”。</w:t>
      </w:r>
    </w:p>
    <w:p w14:paraId="136F1109">
      <w:pPr>
        <w:snapToGrid w:val="0"/>
        <w:spacing w:line="360" w:lineRule="auto"/>
        <w:rPr>
          <w:rFonts w:ascii="宋体" w:hAnsi="宋体" w:cs="宋体"/>
          <w:color w:val="auto"/>
          <w:szCs w:val="21"/>
          <w:highlight w:val="none"/>
        </w:rPr>
      </w:pPr>
    </w:p>
    <w:p w14:paraId="74CA7A65">
      <w:pPr>
        <w:snapToGrid w:val="0"/>
        <w:spacing w:line="360" w:lineRule="auto"/>
        <w:rPr>
          <w:rFonts w:ascii="宋体" w:hAnsi="宋体" w:cs="宋体"/>
          <w:color w:val="auto"/>
          <w:szCs w:val="21"/>
          <w:highlight w:val="none"/>
        </w:rPr>
      </w:pPr>
    </w:p>
    <w:p w14:paraId="6F9502CA">
      <w:pPr>
        <w:snapToGrid w:val="0"/>
        <w:spacing w:line="360" w:lineRule="auto"/>
        <w:rPr>
          <w:rFonts w:ascii="宋体" w:hAnsi="宋体" w:cs="宋体"/>
          <w:color w:val="auto"/>
          <w:szCs w:val="21"/>
          <w:highlight w:val="none"/>
        </w:rPr>
      </w:pPr>
    </w:p>
    <w:p w14:paraId="2E86A65D">
      <w:pPr>
        <w:pStyle w:val="27"/>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E69FDB">
      <w:pPr>
        <w:pStyle w:val="27"/>
        <w:spacing w:line="460" w:lineRule="exact"/>
        <w:ind w:firstLine="539" w:firstLineChars="257"/>
        <w:rPr>
          <w:rFonts w:hAnsi="宋体" w:cs="宋体"/>
          <w:color w:val="auto"/>
          <w:sz w:val="21"/>
          <w:highlight w:val="none"/>
        </w:rPr>
      </w:pPr>
    </w:p>
    <w:p w14:paraId="2E5DDB5D">
      <w:pPr>
        <w:pStyle w:val="27"/>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日期：   年    月    日</w:t>
      </w:r>
    </w:p>
    <w:p w14:paraId="2857D074">
      <w:pPr>
        <w:snapToGrid w:val="0"/>
        <w:ind w:firstLine="636" w:firstLineChars="198"/>
        <w:rPr>
          <w:rFonts w:hAnsi="宋体" w:cs="宋体;SimSun"/>
          <w:b/>
          <w:bCs/>
          <w:color w:val="auto"/>
          <w:sz w:val="32"/>
          <w:szCs w:val="32"/>
          <w:highlight w:val="none"/>
        </w:rPr>
      </w:pPr>
    </w:p>
    <w:p w14:paraId="2E2FE2D4">
      <w:pPr>
        <w:snapToGrid w:val="0"/>
        <w:ind w:firstLine="636" w:firstLineChars="198"/>
        <w:jc w:val="center"/>
        <w:rPr>
          <w:rFonts w:hAnsi="宋体" w:cs="宋体;SimSun"/>
          <w:b/>
          <w:bCs/>
          <w:color w:val="auto"/>
          <w:sz w:val="32"/>
          <w:szCs w:val="32"/>
          <w:highlight w:val="none"/>
        </w:rPr>
      </w:pPr>
    </w:p>
    <w:p w14:paraId="1EBC3AA2">
      <w:pPr>
        <w:snapToGrid w:val="0"/>
        <w:ind w:firstLine="636" w:firstLineChars="198"/>
        <w:jc w:val="center"/>
        <w:rPr>
          <w:rFonts w:hAnsi="宋体" w:cs="宋体;SimSun"/>
          <w:b/>
          <w:bCs/>
          <w:color w:val="auto"/>
          <w:sz w:val="32"/>
          <w:szCs w:val="32"/>
          <w:highlight w:val="none"/>
        </w:rPr>
      </w:pPr>
    </w:p>
    <w:p w14:paraId="14B2ABED">
      <w:pPr>
        <w:snapToGrid w:val="0"/>
        <w:ind w:firstLine="636" w:firstLineChars="198"/>
        <w:jc w:val="center"/>
        <w:rPr>
          <w:rFonts w:hAnsi="宋体" w:cs="宋体;SimSun"/>
          <w:b/>
          <w:bCs/>
          <w:color w:val="auto"/>
          <w:sz w:val="32"/>
          <w:szCs w:val="32"/>
          <w:highlight w:val="none"/>
        </w:rPr>
      </w:pPr>
    </w:p>
    <w:p w14:paraId="7E06CB34">
      <w:pPr>
        <w:snapToGrid w:val="0"/>
        <w:ind w:firstLine="636" w:firstLineChars="198"/>
        <w:jc w:val="center"/>
        <w:rPr>
          <w:rFonts w:hAnsi="宋体" w:cs="宋体;SimSun"/>
          <w:b/>
          <w:bCs/>
          <w:color w:val="auto"/>
          <w:sz w:val="32"/>
          <w:szCs w:val="32"/>
          <w:highlight w:val="none"/>
        </w:rPr>
      </w:pPr>
    </w:p>
    <w:p w14:paraId="756A628E">
      <w:pPr>
        <w:snapToGrid w:val="0"/>
        <w:ind w:firstLine="636" w:firstLineChars="198"/>
        <w:jc w:val="center"/>
        <w:rPr>
          <w:rFonts w:hAnsi="宋体" w:cs="宋体;SimSun"/>
          <w:b/>
          <w:bCs/>
          <w:color w:val="auto"/>
          <w:sz w:val="32"/>
          <w:szCs w:val="32"/>
          <w:highlight w:val="none"/>
        </w:rPr>
      </w:pPr>
    </w:p>
    <w:p w14:paraId="150EC630">
      <w:pPr>
        <w:snapToGrid w:val="0"/>
        <w:ind w:firstLine="636" w:firstLineChars="198"/>
        <w:jc w:val="center"/>
        <w:rPr>
          <w:rFonts w:hAnsi="宋体" w:cs="宋体;SimSun"/>
          <w:b/>
          <w:bCs/>
          <w:color w:val="auto"/>
          <w:sz w:val="32"/>
          <w:szCs w:val="32"/>
          <w:highlight w:val="none"/>
        </w:rPr>
      </w:pPr>
    </w:p>
    <w:p w14:paraId="50391B06">
      <w:pPr>
        <w:snapToGrid w:val="0"/>
        <w:ind w:firstLine="636" w:firstLineChars="198"/>
        <w:jc w:val="center"/>
        <w:rPr>
          <w:rFonts w:hAnsi="宋体" w:cs="宋体;SimSun"/>
          <w:b/>
          <w:bCs/>
          <w:color w:val="auto"/>
          <w:sz w:val="32"/>
          <w:szCs w:val="32"/>
          <w:highlight w:val="none"/>
        </w:rPr>
      </w:pPr>
    </w:p>
    <w:p w14:paraId="3EA443E8">
      <w:pPr>
        <w:snapToGrid w:val="0"/>
        <w:ind w:firstLine="636" w:firstLineChars="198"/>
        <w:jc w:val="center"/>
        <w:rPr>
          <w:rFonts w:hAnsi="宋体" w:cs="宋体;SimSun"/>
          <w:b/>
          <w:bCs/>
          <w:color w:val="auto"/>
          <w:sz w:val="32"/>
          <w:szCs w:val="32"/>
          <w:highlight w:val="none"/>
        </w:rPr>
      </w:pPr>
    </w:p>
    <w:p w14:paraId="11B1196E">
      <w:pPr>
        <w:snapToGrid w:val="0"/>
        <w:spacing w:line="240" w:lineRule="auto"/>
        <w:ind w:firstLine="636" w:firstLineChars="198"/>
        <w:jc w:val="center"/>
        <w:rPr>
          <w:rFonts w:hAnsi="宋体" w:cs="宋体;SimSun"/>
          <w:b/>
          <w:bCs/>
          <w:color w:val="auto"/>
          <w:sz w:val="32"/>
          <w:szCs w:val="32"/>
          <w:highlight w:val="none"/>
        </w:rPr>
      </w:pPr>
    </w:p>
    <w:p w14:paraId="0745E06E">
      <w:pPr>
        <w:snapToGrid w:val="0"/>
        <w:spacing w:line="240" w:lineRule="auto"/>
        <w:ind w:firstLine="636" w:firstLineChars="198"/>
        <w:jc w:val="center"/>
        <w:rPr>
          <w:rFonts w:ascii="仿宋" w:hAnsi="仿宋" w:eastAsia="仿宋" w:cs="仿宋_GB2312"/>
          <w:b/>
          <w:color w:val="auto"/>
          <w:kern w:val="0"/>
          <w:sz w:val="30"/>
          <w:szCs w:val="30"/>
          <w:highlight w:val="none"/>
        </w:rPr>
      </w:pPr>
      <w:r>
        <w:rPr>
          <w:rFonts w:hint="eastAsia" w:hAnsi="宋体" w:cs="宋体;SimSun"/>
          <w:b/>
          <w:bCs/>
          <w:color w:val="auto"/>
          <w:sz w:val="32"/>
          <w:szCs w:val="32"/>
          <w:highlight w:val="none"/>
        </w:rPr>
        <w:t>供应商直接管理关系信息表（格式）</w:t>
      </w:r>
    </w:p>
    <w:p w14:paraId="7CA3CADB">
      <w:pPr>
        <w:snapToGrid w:val="0"/>
        <w:spacing w:line="360" w:lineRule="auto"/>
        <w:jc w:val="center"/>
        <w:rPr>
          <w:rFonts w:ascii="宋体" w:hAnsi="宋体"/>
          <w:b/>
          <w:color w:val="auto"/>
          <w:sz w:val="24"/>
          <w:highlight w:val="none"/>
        </w:rPr>
      </w:pPr>
    </w:p>
    <w:tbl>
      <w:tblPr>
        <w:tblStyle w:val="54"/>
        <w:tblW w:w="9652" w:type="dxa"/>
        <w:jc w:val="center"/>
        <w:shd w:val="clear" w:color="auto" w:fill="FBFBFB"/>
        <w:tblLayout w:type="fixed"/>
        <w:tblCellMar>
          <w:top w:w="0" w:type="dxa"/>
          <w:left w:w="0" w:type="dxa"/>
          <w:bottom w:w="0" w:type="dxa"/>
          <w:right w:w="0" w:type="dxa"/>
        </w:tblCellMar>
      </w:tblPr>
      <w:tblGrid>
        <w:gridCol w:w="808"/>
        <w:gridCol w:w="3600"/>
        <w:gridCol w:w="3555"/>
        <w:gridCol w:w="1689"/>
      </w:tblGrid>
      <w:tr w14:paraId="25C06BEC">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0697F20">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序号</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C3FE951">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B7D2B4D">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53A2BC3">
            <w:pPr>
              <w:spacing w:line="360" w:lineRule="auto"/>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备注</w:t>
            </w:r>
          </w:p>
        </w:tc>
      </w:tr>
      <w:tr w14:paraId="44083169">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78012A10">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3EFEFF">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3F8B961">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1CFDE85">
            <w:pPr>
              <w:spacing w:line="360" w:lineRule="auto"/>
              <w:jc w:val="center"/>
              <w:rPr>
                <w:rFonts w:ascii="宋体" w:hAnsi="宋体" w:cs="宋体"/>
                <w:color w:val="auto"/>
                <w:kern w:val="0"/>
                <w:szCs w:val="21"/>
                <w:highlight w:val="none"/>
              </w:rPr>
            </w:pPr>
          </w:p>
        </w:tc>
      </w:tr>
      <w:tr w14:paraId="23EC9CF6">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1C9F6FCD">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32CCC5C5">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E5E6E40">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E4DC2F">
            <w:pPr>
              <w:spacing w:line="360" w:lineRule="auto"/>
              <w:jc w:val="center"/>
              <w:rPr>
                <w:rFonts w:ascii="宋体" w:hAnsi="宋体" w:cs="宋体"/>
                <w:color w:val="auto"/>
                <w:kern w:val="0"/>
                <w:szCs w:val="21"/>
                <w:highlight w:val="none"/>
              </w:rPr>
            </w:pPr>
          </w:p>
        </w:tc>
      </w:tr>
      <w:tr w14:paraId="09C3E008">
        <w:tblPrEx>
          <w:shd w:val="clear" w:color="auto" w:fill="FBFBFB"/>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32AFCE6">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02E849E8">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C9B6D57">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6A1D891F">
            <w:pPr>
              <w:spacing w:line="360" w:lineRule="auto"/>
              <w:jc w:val="center"/>
              <w:rPr>
                <w:rFonts w:ascii="宋体" w:hAnsi="宋体" w:cs="宋体"/>
                <w:color w:val="auto"/>
                <w:kern w:val="0"/>
                <w:szCs w:val="21"/>
                <w:highlight w:val="none"/>
              </w:rPr>
            </w:pPr>
          </w:p>
        </w:tc>
      </w:tr>
      <w:tr w14:paraId="033C15F7">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428B5B6E">
            <w:pPr>
              <w:spacing w:line="360" w:lineRule="auto"/>
              <w:jc w:val="center"/>
              <w:rPr>
                <w:rFonts w:ascii="宋体" w:hAnsi="宋体" w:cs="宋体"/>
                <w:color w:val="auto"/>
                <w:kern w:val="0"/>
                <w:szCs w:val="21"/>
                <w:highlight w:val="none"/>
              </w:rPr>
            </w:pPr>
            <w:r>
              <w:rPr>
                <w:rFonts w:hint="eastAsia" w:ascii="宋体" w:hAnsi="宋体" w:cs="宋体"/>
                <w:color w:val="auto"/>
                <w:kern w:val="0"/>
                <w:szCs w:val="21"/>
                <w:highlight w:val="none"/>
              </w:rPr>
              <w:t>……</w:t>
            </w:r>
          </w:p>
        </w:tc>
        <w:tc>
          <w:tcPr>
            <w:tcW w:w="3600"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7059CC4">
            <w:pPr>
              <w:spacing w:line="360" w:lineRule="auto"/>
              <w:jc w:val="center"/>
              <w:rPr>
                <w:rFonts w:ascii="宋体" w:hAnsi="宋体" w:cs="宋体"/>
                <w:color w:val="auto"/>
                <w:kern w:val="0"/>
                <w:szCs w:val="21"/>
                <w:highlight w:val="none"/>
              </w:rPr>
            </w:pPr>
          </w:p>
        </w:tc>
        <w:tc>
          <w:tcPr>
            <w:tcW w:w="3555"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276666E8">
            <w:pPr>
              <w:spacing w:line="360" w:lineRule="auto"/>
              <w:jc w:val="center"/>
              <w:rPr>
                <w:rFonts w:ascii="宋体" w:hAnsi="宋体" w:cs="宋体"/>
                <w:color w:val="auto"/>
                <w:kern w:val="0"/>
                <w:szCs w:val="21"/>
                <w:highlight w:val="none"/>
              </w:rPr>
            </w:pPr>
          </w:p>
        </w:tc>
        <w:tc>
          <w:tcPr>
            <w:tcW w:w="1689" w:type="dxa"/>
            <w:tcBorders>
              <w:top w:val="single" w:color="auto" w:sz="4" w:space="0"/>
              <w:left w:val="single" w:color="auto" w:sz="4" w:space="0"/>
              <w:bottom w:val="single" w:color="auto" w:sz="4" w:space="0"/>
              <w:right w:val="single" w:color="auto" w:sz="4" w:space="0"/>
            </w:tcBorders>
            <w:shd w:val="clear" w:color="auto" w:fill="auto"/>
            <w:tcMar>
              <w:top w:w="120" w:type="dxa"/>
              <w:left w:w="120" w:type="dxa"/>
              <w:bottom w:w="120" w:type="dxa"/>
              <w:right w:w="120" w:type="dxa"/>
            </w:tcMar>
            <w:vAlign w:val="center"/>
          </w:tcPr>
          <w:p w14:paraId="51811027">
            <w:pPr>
              <w:spacing w:line="360" w:lineRule="auto"/>
              <w:jc w:val="center"/>
              <w:rPr>
                <w:rFonts w:ascii="宋体" w:hAnsi="宋体" w:cs="宋体"/>
                <w:color w:val="auto"/>
                <w:kern w:val="0"/>
                <w:szCs w:val="21"/>
                <w:highlight w:val="none"/>
              </w:rPr>
            </w:pPr>
          </w:p>
        </w:tc>
      </w:tr>
    </w:tbl>
    <w:p w14:paraId="0965D3D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w:t>
      </w:r>
    </w:p>
    <w:p w14:paraId="53458F7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1.管理关系：是指不具有出资持股关系的其他单位之间存在的管理与被管理关系，如一些上下级关系的事业单位和团体组织。</w:t>
      </w:r>
    </w:p>
    <w:p w14:paraId="549F8CD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2.本表所指的管理关系仅限于直接管理关系，不包括间接的管理关系。</w:t>
      </w:r>
    </w:p>
    <w:p w14:paraId="069AC8F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3.供应商不存在直接管理关系的，则填“无”。</w:t>
      </w:r>
    </w:p>
    <w:p w14:paraId="7B5A3DBC">
      <w:pPr>
        <w:spacing w:line="360" w:lineRule="auto"/>
        <w:rPr>
          <w:rFonts w:ascii="宋体" w:hAnsi="宋体" w:cs="宋体"/>
          <w:color w:val="auto"/>
          <w:szCs w:val="21"/>
          <w:highlight w:val="none"/>
        </w:rPr>
      </w:pPr>
    </w:p>
    <w:p w14:paraId="60D0CB34">
      <w:pPr>
        <w:pStyle w:val="27"/>
        <w:wordWrap w:val="0"/>
        <w:spacing w:line="460" w:lineRule="exact"/>
        <w:ind w:firstLine="539" w:firstLineChars="257"/>
        <w:jc w:val="right"/>
        <w:rPr>
          <w:rFonts w:hAnsi="宋体" w:cs="宋体"/>
          <w:color w:val="auto"/>
          <w:sz w:val="21"/>
          <w:highlight w:val="none"/>
        </w:rPr>
      </w:pPr>
      <w:r>
        <w:rPr>
          <w:rFonts w:hint="eastAsia" w:hAnsi="宋体" w:cs="宋体"/>
          <w:color w:val="auto"/>
          <w:sz w:val="21"/>
          <w:highlight w:val="none"/>
        </w:rPr>
        <w:t>供应商：（盖单位公章）</w:t>
      </w:r>
      <w:r>
        <w:rPr>
          <w:rFonts w:hint="eastAsia" w:hAnsi="宋体" w:cs="宋体"/>
          <w:color w:val="auto"/>
          <w:sz w:val="21"/>
          <w:highlight w:val="none"/>
          <w:u w:val="single"/>
        </w:rPr>
        <w:t xml:space="preserve">                     </w:t>
      </w:r>
    </w:p>
    <w:p w14:paraId="4F1BC668">
      <w:pPr>
        <w:pStyle w:val="27"/>
        <w:spacing w:line="460" w:lineRule="exact"/>
        <w:ind w:firstLine="539" w:firstLineChars="257"/>
        <w:rPr>
          <w:rFonts w:hAnsi="宋体" w:cs="宋体"/>
          <w:color w:val="auto"/>
          <w:sz w:val="21"/>
          <w:highlight w:val="none"/>
        </w:rPr>
      </w:pPr>
    </w:p>
    <w:p w14:paraId="75A2F1FA">
      <w:pPr>
        <w:pStyle w:val="27"/>
        <w:spacing w:line="460" w:lineRule="exact"/>
        <w:ind w:firstLine="525" w:firstLineChars="250"/>
        <w:jc w:val="right"/>
        <w:rPr>
          <w:rFonts w:hAnsi="宋体" w:cs="宋体"/>
          <w:color w:val="auto"/>
          <w:sz w:val="21"/>
          <w:highlight w:val="none"/>
        </w:rPr>
      </w:pPr>
      <w:r>
        <w:rPr>
          <w:rFonts w:hint="eastAsia" w:hAnsi="宋体" w:cs="宋体"/>
          <w:color w:val="auto"/>
          <w:sz w:val="21"/>
          <w:highlight w:val="none"/>
        </w:rPr>
        <w:t>日期：   年    月    日</w:t>
      </w:r>
    </w:p>
    <w:p w14:paraId="2376F5C4">
      <w:pPr>
        <w:ind w:firstLine="435"/>
        <w:rPr>
          <w:color w:val="auto"/>
          <w:szCs w:val="21"/>
          <w:highlight w:val="none"/>
        </w:rPr>
      </w:pPr>
    </w:p>
    <w:p w14:paraId="629F9CEB">
      <w:pPr>
        <w:pStyle w:val="27"/>
        <w:spacing w:line="520" w:lineRule="exact"/>
        <w:jc w:val="center"/>
        <w:rPr>
          <w:rFonts w:hAnsi="宋体" w:cs="宋体;SimSun"/>
          <w:b/>
          <w:bCs/>
          <w:color w:val="auto"/>
          <w:sz w:val="30"/>
          <w:szCs w:val="30"/>
          <w:highlight w:val="none"/>
        </w:rPr>
      </w:pPr>
    </w:p>
    <w:p w14:paraId="26AAB82E">
      <w:pPr>
        <w:pStyle w:val="27"/>
        <w:spacing w:line="520" w:lineRule="exact"/>
        <w:jc w:val="center"/>
        <w:rPr>
          <w:rFonts w:hAnsi="宋体" w:cs="宋体;SimSun"/>
          <w:b/>
          <w:bCs/>
          <w:color w:val="auto"/>
          <w:sz w:val="30"/>
          <w:szCs w:val="30"/>
          <w:highlight w:val="none"/>
        </w:rPr>
      </w:pPr>
    </w:p>
    <w:p w14:paraId="10F26A3E">
      <w:pPr>
        <w:pStyle w:val="27"/>
        <w:spacing w:line="520" w:lineRule="exact"/>
        <w:jc w:val="center"/>
        <w:rPr>
          <w:rFonts w:hAnsi="宋体" w:cs="宋体;SimSun"/>
          <w:b/>
          <w:bCs/>
          <w:color w:val="auto"/>
          <w:sz w:val="32"/>
          <w:szCs w:val="32"/>
          <w:highlight w:val="none"/>
        </w:rPr>
      </w:pPr>
      <w:r>
        <w:rPr>
          <w:rFonts w:hint="eastAsia" w:hAnsi="宋体" w:cs="宋体;SimSun"/>
          <w:b/>
          <w:bCs/>
          <w:color w:val="auto"/>
          <w:sz w:val="32"/>
          <w:szCs w:val="32"/>
          <w:highlight w:val="none"/>
          <w:lang w:val="en-US" w:eastAsia="zh-CN"/>
        </w:rPr>
        <w:t>实时服务</w:t>
      </w:r>
      <w:r>
        <w:rPr>
          <w:rFonts w:hint="eastAsia" w:hAnsi="宋体" w:cs="宋体;SimSun"/>
          <w:b/>
          <w:bCs/>
          <w:color w:val="auto"/>
          <w:sz w:val="32"/>
          <w:szCs w:val="32"/>
          <w:highlight w:val="none"/>
        </w:rPr>
        <w:t>承诺书（格式）</w:t>
      </w:r>
    </w:p>
    <w:p w14:paraId="1C0BD8F3">
      <w:pPr>
        <w:pStyle w:val="27"/>
        <w:spacing w:line="520" w:lineRule="exact"/>
        <w:ind w:firstLine="521"/>
        <w:rPr>
          <w:rFonts w:hAnsi="宋体"/>
          <w:b/>
          <w:bCs/>
          <w:color w:val="auto"/>
          <w:sz w:val="28"/>
          <w:szCs w:val="28"/>
          <w:highlight w:val="none"/>
        </w:rPr>
      </w:pPr>
    </w:p>
    <w:p w14:paraId="61941965">
      <w:pPr>
        <w:pStyle w:val="27"/>
        <w:spacing w:line="520" w:lineRule="exact"/>
        <w:ind w:firstLine="521"/>
        <w:rPr>
          <w:rFonts w:hAnsi="宋体"/>
          <w:color w:val="auto"/>
          <w:sz w:val="21"/>
          <w:highlight w:val="none"/>
        </w:rPr>
      </w:pPr>
      <w:r>
        <w:rPr>
          <w:rFonts w:hint="eastAsia" w:hAnsi="宋体" w:cs="宋体;SimSun"/>
          <w:color w:val="auto"/>
          <w:sz w:val="21"/>
          <w:highlight w:val="none"/>
        </w:rPr>
        <w:t>由竞标人按本项目招标文件第三章</w:t>
      </w:r>
      <w:r>
        <w:rPr>
          <w:rFonts w:hint="eastAsia" w:hAnsi="宋体"/>
          <w:color w:val="auto"/>
          <w:sz w:val="21"/>
          <w:highlight w:val="none"/>
        </w:rPr>
        <w:t>“</w:t>
      </w:r>
      <w:r>
        <w:rPr>
          <w:rFonts w:hint="eastAsia" w:hAnsi="宋体" w:cs="宋体;SimSun"/>
          <w:color w:val="auto"/>
          <w:sz w:val="21"/>
          <w:highlight w:val="none"/>
        </w:rPr>
        <w:t>项目需求一览表</w:t>
      </w:r>
      <w:r>
        <w:rPr>
          <w:rFonts w:hint="eastAsia" w:hAnsi="宋体"/>
          <w:color w:val="auto"/>
          <w:sz w:val="21"/>
          <w:highlight w:val="none"/>
        </w:rPr>
        <w:t>”</w:t>
      </w:r>
      <w:r>
        <w:rPr>
          <w:rFonts w:hint="eastAsia" w:hAnsi="宋体" w:cs="宋体;SimSun"/>
          <w:color w:val="auto"/>
          <w:sz w:val="21"/>
          <w:highlight w:val="none"/>
        </w:rPr>
        <w:t>中商务条款的要求自行填写。</w:t>
      </w:r>
    </w:p>
    <w:p w14:paraId="33BDD5ED">
      <w:pPr>
        <w:pStyle w:val="27"/>
        <w:spacing w:line="520" w:lineRule="exact"/>
        <w:ind w:firstLine="527"/>
        <w:rPr>
          <w:rFonts w:hAnsi="宋体"/>
          <w:color w:val="auto"/>
          <w:sz w:val="28"/>
          <w:szCs w:val="28"/>
          <w:highlight w:val="none"/>
        </w:rPr>
      </w:pPr>
    </w:p>
    <w:p w14:paraId="3842838B">
      <w:pPr>
        <w:pStyle w:val="27"/>
        <w:spacing w:line="520" w:lineRule="exact"/>
        <w:rPr>
          <w:rFonts w:hAnsi="宋体"/>
          <w:color w:val="auto"/>
          <w:sz w:val="28"/>
          <w:szCs w:val="28"/>
          <w:highlight w:val="none"/>
        </w:rPr>
      </w:pPr>
    </w:p>
    <w:p w14:paraId="35306F6A">
      <w:pPr>
        <w:ind w:firstLine="435"/>
        <w:rPr>
          <w:color w:val="auto"/>
          <w:szCs w:val="21"/>
          <w:highlight w:val="none"/>
        </w:rPr>
      </w:pPr>
    </w:p>
    <w:p w14:paraId="5FA3ACC4">
      <w:pPr>
        <w:ind w:firstLine="435"/>
        <w:rPr>
          <w:color w:val="auto"/>
          <w:szCs w:val="21"/>
          <w:highlight w:val="none"/>
        </w:rPr>
      </w:pPr>
    </w:p>
    <w:p w14:paraId="48FCCFB9">
      <w:pPr>
        <w:ind w:firstLine="435"/>
        <w:rPr>
          <w:color w:val="auto"/>
          <w:szCs w:val="21"/>
          <w:highlight w:val="none"/>
        </w:rPr>
      </w:pPr>
    </w:p>
    <w:p w14:paraId="21BA45F4">
      <w:pPr>
        <w:ind w:firstLine="435"/>
        <w:rPr>
          <w:color w:val="auto"/>
          <w:szCs w:val="21"/>
          <w:highlight w:val="none"/>
        </w:rPr>
      </w:pPr>
    </w:p>
    <w:p w14:paraId="165C836F">
      <w:pPr>
        <w:ind w:firstLine="435"/>
        <w:rPr>
          <w:color w:val="auto"/>
          <w:szCs w:val="21"/>
          <w:highlight w:val="none"/>
        </w:rPr>
      </w:pPr>
    </w:p>
    <w:p w14:paraId="295B56CD">
      <w:pPr>
        <w:spacing w:line="300" w:lineRule="auto"/>
        <w:jc w:val="center"/>
        <w:rPr>
          <w:rFonts w:ascii="宋体" w:hAnsi="宋体"/>
          <w:b/>
          <w:color w:val="auto"/>
          <w:sz w:val="32"/>
          <w:szCs w:val="32"/>
          <w:highlight w:val="none"/>
        </w:rPr>
      </w:pPr>
      <w:r>
        <w:rPr>
          <w:rFonts w:hint="eastAsia" w:ascii="宋体" w:hAnsi="宋体"/>
          <w:b/>
          <w:color w:val="auto"/>
          <w:sz w:val="32"/>
          <w:szCs w:val="32"/>
          <w:highlight w:val="none"/>
        </w:rPr>
        <w:t>法 定 代 表 人 授 权 书</w:t>
      </w:r>
    </w:p>
    <w:p w14:paraId="7E58F93C">
      <w:pPr>
        <w:adjustRightInd w:val="0"/>
        <w:snapToGrid w:val="0"/>
        <w:spacing w:line="300" w:lineRule="auto"/>
        <w:rPr>
          <w:rFonts w:ascii="宋体" w:hAnsi="宋体"/>
          <w:color w:val="auto"/>
          <w:szCs w:val="21"/>
          <w:highlight w:val="none"/>
        </w:rPr>
      </w:pPr>
    </w:p>
    <w:p w14:paraId="359A4103">
      <w:pPr>
        <w:snapToGrid w:val="0"/>
        <w:spacing w:before="156" w:beforeLines="50" w:line="440" w:lineRule="exact"/>
        <w:rPr>
          <w:rFonts w:ascii="宋体" w:hAnsi="宋体"/>
          <w:b/>
          <w:bCs/>
          <w:color w:val="auto"/>
          <w:szCs w:val="21"/>
          <w:highlight w:val="none"/>
        </w:rPr>
      </w:pPr>
      <w:r>
        <w:rPr>
          <w:rFonts w:hint="eastAsia" w:ascii="宋体" w:hAnsi="宋体"/>
          <w:bCs/>
          <w:color w:val="auto"/>
          <w:szCs w:val="21"/>
          <w:highlight w:val="none"/>
        </w:rPr>
        <w:t>致：</w:t>
      </w:r>
      <w:r>
        <w:rPr>
          <w:rFonts w:hint="eastAsia" w:ascii="宋体" w:hAnsi="宋体"/>
          <w:color w:val="auto"/>
          <w:szCs w:val="21"/>
          <w:highlight w:val="none"/>
          <w:u w:val="single"/>
        </w:rPr>
        <w:t xml:space="preserve">            </w:t>
      </w:r>
      <w:r>
        <w:rPr>
          <w:rFonts w:hint="eastAsia" w:ascii="宋体" w:hAnsi="宋体"/>
          <w:color w:val="auto"/>
          <w:szCs w:val="21"/>
          <w:highlight w:val="none"/>
        </w:rPr>
        <w:t>（采购代理机构）</w:t>
      </w:r>
      <w:r>
        <w:rPr>
          <w:rFonts w:hint="eastAsia" w:ascii="宋体" w:hAnsi="宋体"/>
          <w:b/>
          <w:bCs/>
          <w:color w:val="auto"/>
          <w:szCs w:val="21"/>
          <w:highlight w:val="none"/>
        </w:rPr>
        <w:t xml:space="preserve"> </w:t>
      </w:r>
      <w:r>
        <w:rPr>
          <w:rFonts w:hint="eastAsia" w:ascii="宋体" w:hAnsi="宋体"/>
          <w:color w:val="auto"/>
          <w:szCs w:val="21"/>
          <w:highlight w:val="none"/>
        </w:rPr>
        <w:t>：</w:t>
      </w:r>
    </w:p>
    <w:p w14:paraId="75DDAB93">
      <w:pPr>
        <w:snapToGrid w:val="0"/>
        <w:spacing w:before="156" w:beforeLines="50" w:line="440" w:lineRule="exact"/>
        <w:ind w:firstLine="495" w:firstLineChars="236"/>
        <w:rPr>
          <w:rFonts w:ascii="宋体" w:hAnsi="宋体"/>
          <w:color w:val="auto"/>
          <w:szCs w:val="21"/>
          <w:highlight w:val="none"/>
        </w:rPr>
      </w:pPr>
      <w:r>
        <w:rPr>
          <w:rFonts w:hint="eastAsia" w:ascii="宋体" w:hAnsi="宋体"/>
          <w:color w:val="auto"/>
          <w:szCs w:val="21"/>
          <w:highlight w:val="none"/>
        </w:rPr>
        <w:t>我</w:t>
      </w:r>
      <w:r>
        <w:rPr>
          <w:rFonts w:hint="eastAsia" w:ascii="宋体" w:hAnsi="宋体"/>
          <w:color w:val="auto"/>
          <w:szCs w:val="21"/>
          <w:highlight w:val="none"/>
          <w:u w:val="single"/>
        </w:rPr>
        <w:t xml:space="preserve">            </w:t>
      </w:r>
      <w:r>
        <w:rPr>
          <w:rFonts w:hint="eastAsia" w:ascii="宋体" w:hAnsi="宋体"/>
          <w:color w:val="auto"/>
          <w:szCs w:val="21"/>
          <w:highlight w:val="none"/>
        </w:rPr>
        <w:t>（姓名）系</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（供应商名称）的法定代表人，现授权委托本单位在职职工 </w:t>
      </w:r>
      <w:r>
        <w:rPr>
          <w:rFonts w:hint="eastAsia" w:ascii="宋体" w:hAnsi="宋体"/>
          <w:color w:val="auto"/>
          <w:szCs w:val="21"/>
          <w:highlight w:val="none"/>
          <w:u w:val="single"/>
        </w:rPr>
        <w:t xml:space="preserve">            </w:t>
      </w:r>
      <w:r>
        <w:rPr>
          <w:rFonts w:hint="eastAsia" w:ascii="宋体" w:hAnsi="宋体"/>
          <w:color w:val="auto"/>
          <w:szCs w:val="21"/>
          <w:highlight w:val="none"/>
        </w:rPr>
        <w:t>（姓名）以我方的名义参加</w:t>
      </w:r>
      <w:r>
        <w:rPr>
          <w:rFonts w:hint="eastAsia" w:ascii="宋体" w:hAnsi="宋体"/>
          <w:color w:val="auto"/>
          <w:szCs w:val="21"/>
          <w:highlight w:val="none"/>
          <w:u w:val="single"/>
        </w:rPr>
        <w:t xml:space="preserve">                </w:t>
      </w:r>
      <w:r>
        <w:rPr>
          <w:rFonts w:hint="eastAsia" w:ascii="宋体" w:hAnsi="宋体"/>
          <w:color w:val="auto"/>
          <w:szCs w:val="21"/>
          <w:highlight w:val="none"/>
        </w:rPr>
        <w:t>项目的竞标活动，并代表我方全权办理针对上述项目的竞标、开标、评标、签约等具体事务和签署相关文件。</w:t>
      </w:r>
    </w:p>
    <w:p w14:paraId="68CBED4A">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 xml:space="preserve">    我方对被授权人的签字事项负全部责任。</w:t>
      </w:r>
    </w:p>
    <w:p w14:paraId="15A97CC8">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u w:val="single"/>
        </w:rPr>
        <w:t>在撤销授权的书面通知以前，本授权书一直有效。</w:t>
      </w:r>
      <w:r>
        <w:rPr>
          <w:rFonts w:hint="eastAsia" w:ascii="宋体" w:hAnsi="宋体"/>
          <w:color w:val="auto"/>
          <w:szCs w:val="21"/>
          <w:highlight w:val="none"/>
        </w:rPr>
        <w:t>被授权人在授权书有效期内签署的所有文件不因授权的撤销而失效。</w:t>
      </w:r>
    </w:p>
    <w:p w14:paraId="5CD2C370">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被授权人无转委托权，特此委托。</w:t>
      </w:r>
    </w:p>
    <w:p w14:paraId="0467C13C">
      <w:pPr>
        <w:snapToGrid w:val="0"/>
        <w:spacing w:before="156" w:beforeLines="50" w:line="440" w:lineRule="exact"/>
        <w:ind w:firstLine="480"/>
        <w:rPr>
          <w:rFonts w:ascii="宋体" w:hAnsi="宋体"/>
          <w:color w:val="auto"/>
          <w:szCs w:val="21"/>
          <w:highlight w:val="none"/>
        </w:rPr>
      </w:pPr>
      <w:r>
        <w:rPr>
          <w:rFonts w:hint="eastAsia" w:ascii="宋体" w:hAnsi="宋体"/>
          <w:color w:val="auto"/>
          <w:szCs w:val="21"/>
          <w:highlight w:val="none"/>
        </w:rPr>
        <w:t>附：法定代表人身份证明及被授权人有效身份证正反面复印件</w:t>
      </w:r>
    </w:p>
    <w:p w14:paraId="7D85589D">
      <w:pPr>
        <w:snapToGrid w:val="0"/>
        <w:spacing w:before="156" w:beforeLines="50" w:line="440" w:lineRule="exact"/>
        <w:rPr>
          <w:rFonts w:ascii="宋体" w:hAnsi="宋体"/>
          <w:color w:val="auto"/>
          <w:szCs w:val="21"/>
          <w:highlight w:val="none"/>
        </w:rPr>
      </w:pPr>
    </w:p>
    <w:p w14:paraId="4EF4CDA4">
      <w:pPr>
        <w:snapToGrid w:val="0"/>
        <w:spacing w:before="156" w:beforeLines="50" w:line="440" w:lineRule="exact"/>
        <w:rPr>
          <w:rFonts w:ascii="宋体" w:hAnsi="宋体"/>
          <w:color w:val="auto"/>
          <w:szCs w:val="21"/>
          <w:highlight w:val="none"/>
          <w:u w:val="single"/>
        </w:rPr>
      </w:pPr>
      <w:r>
        <w:rPr>
          <w:rFonts w:hint="eastAsia" w:ascii="宋体" w:hAnsi="宋体"/>
          <w:color w:val="auto"/>
          <w:szCs w:val="21"/>
          <w:highlight w:val="none"/>
        </w:rPr>
        <w:t>被授权人签字：</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法定代表人签字：</w:t>
      </w:r>
      <w:r>
        <w:rPr>
          <w:rFonts w:hint="eastAsia" w:ascii="宋体" w:hAnsi="宋体"/>
          <w:color w:val="auto"/>
          <w:szCs w:val="21"/>
          <w:highlight w:val="none"/>
          <w:u w:val="single"/>
        </w:rPr>
        <w:t xml:space="preserve">              </w:t>
      </w:r>
    </w:p>
    <w:p w14:paraId="0DF49B1C">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所在部门职务：</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职务：</w:t>
      </w:r>
      <w:r>
        <w:rPr>
          <w:rFonts w:hint="eastAsia" w:ascii="宋体" w:hAnsi="宋体"/>
          <w:color w:val="auto"/>
          <w:szCs w:val="21"/>
          <w:highlight w:val="none"/>
          <w:u w:val="single"/>
        </w:rPr>
        <w:t xml:space="preserve">                  </w:t>
      </w:r>
    </w:p>
    <w:p w14:paraId="6E5E1A14">
      <w:pPr>
        <w:snapToGrid w:val="0"/>
        <w:spacing w:before="156" w:beforeLines="50" w:line="440" w:lineRule="exact"/>
        <w:rPr>
          <w:rFonts w:ascii="宋体" w:hAnsi="宋体"/>
          <w:color w:val="auto"/>
          <w:szCs w:val="21"/>
          <w:highlight w:val="none"/>
        </w:rPr>
      </w:pPr>
      <w:r>
        <w:rPr>
          <w:rFonts w:hint="eastAsia" w:ascii="宋体" w:hAnsi="宋体"/>
          <w:color w:val="auto"/>
          <w:szCs w:val="21"/>
          <w:highlight w:val="none"/>
        </w:rPr>
        <w:t>被授权人身份证号码：</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6B804709">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w:t>
      </w:r>
    </w:p>
    <w:p w14:paraId="42E9336F">
      <w:pPr>
        <w:snapToGrid w:val="0"/>
        <w:spacing w:before="156" w:beforeLines="50" w:line="440" w:lineRule="exact"/>
        <w:jc w:val="center"/>
        <w:rPr>
          <w:rFonts w:ascii="宋体" w:hAnsi="宋体"/>
          <w:color w:val="auto"/>
          <w:szCs w:val="21"/>
          <w:highlight w:val="none"/>
        </w:rPr>
      </w:pPr>
    </w:p>
    <w:p w14:paraId="05934CDA">
      <w:pPr>
        <w:snapToGrid w:val="0"/>
        <w:spacing w:before="156" w:beforeLines="50" w:line="440" w:lineRule="exact"/>
        <w:jc w:val="center"/>
        <w:rPr>
          <w:rFonts w:ascii="宋体" w:hAnsi="宋体"/>
          <w:color w:val="auto"/>
          <w:szCs w:val="21"/>
          <w:highlight w:val="none"/>
        </w:rPr>
      </w:pPr>
      <w:r>
        <w:rPr>
          <w:rFonts w:hint="eastAsia" w:ascii="宋体" w:hAnsi="宋体"/>
          <w:color w:val="auto"/>
          <w:szCs w:val="21"/>
          <w:highlight w:val="none"/>
        </w:rPr>
        <w:t xml:space="preserve">                                   供应商公章：</w:t>
      </w:r>
    </w:p>
    <w:p w14:paraId="0C057046">
      <w:pPr>
        <w:autoSpaceDE w:val="0"/>
        <w:autoSpaceDN w:val="0"/>
        <w:spacing w:line="440" w:lineRule="exact"/>
        <w:ind w:left="480" w:hanging="480"/>
        <w:rPr>
          <w:rFonts w:ascii="宋体" w:hAnsi="宋体"/>
          <w:color w:val="auto"/>
          <w:szCs w:val="21"/>
          <w:highlight w:val="none"/>
        </w:rPr>
      </w:pPr>
      <w:r>
        <w:rPr>
          <w:rFonts w:hint="eastAsia" w:ascii="宋体" w:hAnsi="宋体"/>
          <w:color w:val="auto"/>
          <w:szCs w:val="21"/>
          <w:highlight w:val="none"/>
        </w:rPr>
        <w:t xml:space="preserve">                                                        年    月    日</w:t>
      </w:r>
    </w:p>
    <w:p w14:paraId="69D48101">
      <w:pPr>
        <w:pStyle w:val="27"/>
        <w:spacing w:line="400" w:lineRule="exact"/>
        <w:rPr>
          <w:rFonts w:hAnsi="宋体"/>
          <w:color w:val="auto"/>
          <w:highlight w:val="none"/>
        </w:rPr>
      </w:pPr>
    </w:p>
    <w:p w14:paraId="06AABA7F">
      <w:pPr>
        <w:pStyle w:val="27"/>
        <w:spacing w:line="360" w:lineRule="auto"/>
        <w:ind w:right="400" w:firstLine="420"/>
        <w:jc w:val="both"/>
        <w:rPr>
          <w:color w:val="auto"/>
          <w:highlight w:val="none"/>
          <w:u w:val="single"/>
        </w:rPr>
      </w:pPr>
    </w:p>
    <w:p w14:paraId="2A30FC09">
      <w:pPr>
        <w:ind w:firstLine="210" w:firstLineChars="100"/>
        <w:rPr>
          <w:rFonts w:ascii="宋体" w:hAnsi="宋体"/>
          <w:color w:val="auto"/>
          <w:szCs w:val="21"/>
          <w:highlight w:val="none"/>
        </w:rPr>
      </w:pPr>
      <w:r>
        <w:rPr>
          <w:rFonts w:hAnsi="宋体"/>
          <w:color w:val="auto"/>
          <w:highlight w:val="none"/>
        </w:rPr>
        <w:br w:type="page"/>
      </w:r>
    </w:p>
    <w:p w14:paraId="6E93F109">
      <w:pPr>
        <w:ind w:firstLine="210" w:firstLineChars="100"/>
        <w:rPr>
          <w:rFonts w:ascii="宋体" w:hAnsi="宋体"/>
          <w:color w:val="auto"/>
          <w:szCs w:val="21"/>
          <w:highlight w:val="none"/>
        </w:rPr>
      </w:pPr>
    </w:p>
    <w:p w14:paraId="08FED5A1">
      <w:pPr>
        <w:numPr>
          <w:ilvl w:val="0"/>
          <w:numId w:val="8"/>
        </w:numPr>
        <w:ind w:firstLine="321" w:firstLineChars="100"/>
        <w:jc w:val="center"/>
        <w:outlineLvl w:val="0"/>
        <w:rPr>
          <w:rFonts w:ascii="宋体" w:hAnsi="宋体"/>
          <w:b/>
          <w:color w:val="auto"/>
          <w:sz w:val="32"/>
          <w:szCs w:val="32"/>
          <w:highlight w:val="none"/>
        </w:rPr>
      </w:pPr>
      <w:bookmarkStart w:id="46" w:name="_Toc31117"/>
      <w:r>
        <w:rPr>
          <w:rFonts w:hint="eastAsia" w:ascii="宋体" w:hAnsi="宋体"/>
          <w:b/>
          <w:color w:val="auto"/>
          <w:sz w:val="32"/>
          <w:szCs w:val="32"/>
          <w:highlight w:val="none"/>
        </w:rPr>
        <w:t>采购合同</w:t>
      </w:r>
      <w:bookmarkEnd w:id="46"/>
    </w:p>
    <w:p w14:paraId="1B04C11F">
      <w:pPr>
        <w:pStyle w:val="53"/>
        <w:ind w:left="840" w:leftChars="400" w:firstLine="0" w:firstLineChars="0"/>
        <w:rPr>
          <w:color w:val="auto"/>
          <w:highlight w:val="none"/>
        </w:rPr>
      </w:pPr>
    </w:p>
    <w:p w14:paraId="3226DC95">
      <w:pPr>
        <w:spacing w:line="840" w:lineRule="exact"/>
        <w:ind w:firstLine="420"/>
        <w:jc w:val="center"/>
        <w:rPr>
          <w:rFonts w:ascii="黑体" w:hAnsi="黑体" w:eastAsia="黑体" w:cs="Courier New"/>
          <w:b/>
          <w:bCs/>
          <w:color w:val="auto"/>
          <w:sz w:val="72"/>
          <w:szCs w:val="72"/>
          <w:highlight w:val="none"/>
        </w:rPr>
      </w:pPr>
      <w:bookmarkStart w:id="47" w:name="_Hlt512352445"/>
      <w:bookmarkEnd w:id="47"/>
    </w:p>
    <w:p w14:paraId="7E2B22D2">
      <w:pPr>
        <w:spacing w:line="840" w:lineRule="exact"/>
        <w:ind w:firstLine="420"/>
        <w:jc w:val="center"/>
        <w:rPr>
          <w:rFonts w:ascii="宋体" w:hAnsi="宋体" w:cs="Courier New"/>
          <w:b/>
          <w:bCs/>
          <w:color w:val="auto"/>
          <w:sz w:val="36"/>
          <w:szCs w:val="36"/>
          <w:highlight w:val="none"/>
        </w:rPr>
      </w:pPr>
      <w:r>
        <w:rPr>
          <w:rFonts w:hint="eastAsia" w:ascii="宋体" w:hAnsi="宋体" w:cs="Courier New"/>
          <w:b/>
          <w:bCs/>
          <w:color w:val="auto"/>
          <w:sz w:val="36"/>
          <w:szCs w:val="36"/>
          <w:highlight w:val="none"/>
        </w:rPr>
        <w:t>采购合同书</w:t>
      </w:r>
    </w:p>
    <w:p w14:paraId="585E5D3D">
      <w:pPr>
        <w:spacing w:line="340" w:lineRule="exact"/>
        <w:ind w:firstLine="420"/>
        <w:rPr>
          <w:rFonts w:ascii="黑体" w:hAnsi="Courier New" w:eastAsia="黑体" w:cs="Courier New"/>
          <w:color w:val="auto"/>
          <w:highlight w:val="none"/>
        </w:rPr>
      </w:pPr>
      <w:r>
        <w:rPr>
          <w:rFonts w:hint="eastAsia" w:ascii="黑体" w:hAnsi="Courier New" w:eastAsia="黑体" w:cs="Courier New"/>
          <w:color w:val="auto"/>
          <w:highlight w:val="none"/>
        </w:rPr>
        <w:t xml:space="preserve"> </w:t>
      </w:r>
    </w:p>
    <w:p w14:paraId="08E86DA2">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9B1AE2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01EF156">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10B959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62808C5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FB30D1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094D27">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42AD019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E94F8AE">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64359CB">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0713F4A">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E45FFB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F4FE3D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1F04BC94">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2D9C21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531FB9A0">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28399E3">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316F500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0DF32665">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7229621C">
      <w:pPr>
        <w:spacing w:line="340" w:lineRule="exact"/>
        <w:ind w:firstLine="420"/>
        <w:rPr>
          <w:rFonts w:ascii="宋体" w:hAnsi="Courier New" w:cs="Courier New"/>
          <w:color w:val="auto"/>
          <w:highlight w:val="none"/>
        </w:rPr>
      </w:pPr>
      <w:r>
        <w:rPr>
          <w:rFonts w:hint="eastAsia" w:ascii="宋体" w:hAnsi="Courier New" w:cs="Courier New"/>
          <w:color w:val="auto"/>
          <w:highlight w:val="none"/>
        </w:rPr>
        <w:t xml:space="preserve"> </w:t>
      </w:r>
    </w:p>
    <w:p w14:paraId="24B0562B">
      <w:pPr>
        <w:spacing w:line="340" w:lineRule="exact"/>
        <w:ind w:firstLine="420"/>
        <w:rPr>
          <w:rFonts w:ascii="宋体" w:hAnsi="Courier New" w:cs="Courier New"/>
          <w:b/>
          <w:color w:val="auto"/>
          <w:highlight w:val="none"/>
        </w:rPr>
      </w:pPr>
      <w:r>
        <w:rPr>
          <w:rFonts w:hint="eastAsia" w:ascii="宋体" w:hAnsi="Courier New" w:cs="Courier New"/>
          <w:b/>
          <w:color w:val="auto"/>
          <w:highlight w:val="none"/>
        </w:rPr>
        <w:t xml:space="preserve"> </w:t>
      </w:r>
    </w:p>
    <w:p w14:paraId="5348FF9D">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项目名称：</w:t>
      </w:r>
      <w:r>
        <w:rPr>
          <w:rFonts w:hint="eastAsia" w:ascii="宋体" w:hAnsi="Courier New" w:cs="Courier New"/>
          <w:b/>
          <w:color w:val="auto"/>
          <w:sz w:val="22"/>
          <w:szCs w:val="22"/>
          <w:highlight w:val="none"/>
        </w:rPr>
        <w:t xml:space="preserve"> </w:t>
      </w:r>
    </w:p>
    <w:p w14:paraId="4C8E8D9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项目编号：</w:t>
      </w:r>
    </w:p>
    <w:p w14:paraId="1F7EF737">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签订地点：</w:t>
      </w:r>
      <w:r>
        <w:rPr>
          <w:rFonts w:hint="eastAsia" w:ascii="宋体" w:hAnsi="Courier New" w:cs="Courier New"/>
          <w:b/>
          <w:color w:val="auto"/>
          <w:sz w:val="22"/>
          <w:szCs w:val="22"/>
          <w:highlight w:val="none"/>
        </w:rPr>
        <w:t xml:space="preserve"> </w:t>
      </w:r>
    </w:p>
    <w:p w14:paraId="1A04A092">
      <w:pPr>
        <w:spacing w:line="460" w:lineRule="exact"/>
        <w:ind w:left="2469" w:leftChars="650" w:hanging="1104" w:hangingChars="500"/>
        <w:rPr>
          <w:rFonts w:ascii="宋体" w:hAnsi="Courier New" w:cs="Courier New"/>
          <w:b/>
          <w:color w:val="auto"/>
          <w:sz w:val="22"/>
          <w:szCs w:val="22"/>
          <w:highlight w:val="none"/>
        </w:rPr>
      </w:pPr>
      <w:r>
        <w:rPr>
          <w:rFonts w:hint="eastAsia" w:ascii="宋体" w:hAnsi="宋体" w:cs="Courier New"/>
          <w:b/>
          <w:color w:val="auto"/>
          <w:sz w:val="22"/>
          <w:szCs w:val="22"/>
          <w:highlight w:val="none"/>
        </w:rPr>
        <w:t>签订时间：</w:t>
      </w:r>
    </w:p>
    <w:p w14:paraId="73180291">
      <w:pPr>
        <w:spacing w:line="340" w:lineRule="exact"/>
        <w:ind w:firstLine="420"/>
        <w:jc w:val="center"/>
        <w:rPr>
          <w:rFonts w:ascii="宋体" w:hAnsi="Courier New" w:cs="Courier New"/>
          <w:b/>
          <w:color w:val="auto"/>
          <w:sz w:val="28"/>
          <w:szCs w:val="28"/>
          <w:highlight w:val="none"/>
        </w:rPr>
      </w:pPr>
      <w:r>
        <w:rPr>
          <w:rFonts w:hint="eastAsia" w:ascii="宋体" w:hAnsi="Courier New" w:cs="Courier New"/>
          <w:b/>
          <w:color w:val="auto"/>
          <w:sz w:val="28"/>
          <w:szCs w:val="28"/>
          <w:highlight w:val="none"/>
        </w:rPr>
        <w:t xml:space="preserve"> </w:t>
      </w:r>
    </w:p>
    <w:p w14:paraId="1D376A9E">
      <w:pPr>
        <w:suppressAutoHyphens/>
        <w:snapToGrid w:val="0"/>
        <w:spacing w:line="360" w:lineRule="exact"/>
        <w:rPr>
          <w:color w:val="auto"/>
          <w:highlight w:val="none"/>
        </w:rPr>
      </w:pPr>
      <w:r>
        <w:rPr>
          <w:color w:val="auto"/>
          <w:highlight w:val="none"/>
        </w:rPr>
        <w:t xml:space="preserve"> </w:t>
      </w:r>
    </w:p>
    <w:p w14:paraId="2D51766A">
      <w:pPr>
        <w:rPr>
          <w:b/>
          <w:bCs/>
          <w:color w:val="auto"/>
          <w:sz w:val="44"/>
          <w:szCs w:val="44"/>
          <w:highlight w:val="none"/>
        </w:rPr>
        <w:sectPr>
          <w:pgSz w:w="11906" w:h="16838"/>
          <w:pgMar w:top="1440" w:right="1080" w:bottom="1440" w:left="1080" w:header="851" w:footer="992" w:gutter="0"/>
          <w:pgNumType w:fmt="decimal"/>
          <w:cols w:space="720" w:num="1"/>
          <w:docGrid w:type="lines" w:linePitch="312" w:charSpace="0"/>
        </w:sectPr>
      </w:pPr>
    </w:p>
    <w:p w14:paraId="5B16DD76">
      <w:pPr>
        <w:spacing w:line="240" w:lineRule="auto"/>
        <w:jc w:val="center"/>
        <w:rPr>
          <w:b/>
          <w:bCs/>
          <w:color w:val="auto"/>
          <w:sz w:val="44"/>
          <w:szCs w:val="44"/>
          <w:highlight w:val="none"/>
        </w:rPr>
      </w:pPr>
      <w:r>
        <w:rPr>
          <w:rFonts w:hint="eastAsia" w:ascii="宋体" w:hAnsi="宋体"/>
          <w:b/>
          <w:bCs/>
          <w:color w:val="auto"/>
          <w:sz w:val="44"/>
          <w:szCs w:val="44"/>
          <w:highlight w:val="none"/>
        </w:rPr>
        <w:t>目</w:t>
      </w:r>
      <w:r>
        <w:rPr>
          <w:b/>
          <w:bCs/>
          <w:color w:val="auto"/>
          <w:sz w:val="44"/>
          <w:szCs w:val="44"/>
          <w:highlight w:val="none"/>
        </w:rPr>
        <w:t xml:space="preserve">       </w:t>
      </w:r>
      <w:r>
        <w:rPr>
          <w:rFonts w:hint="eastAsia" w:ascii="宋体" w:hAnsi="宋体"/>
          <w:b/>
          <w:bCs/>
          <w:color w:val="auto"/>
          <w:sz w:val="44"/>
          <w:szCs w:val="44"/>
          <w:highlight w:val="none"/>
        </w:rPr>
        <w:t>录</w:t>
      </w:r>
    </w:p>
    <w:p w14:paraId="19D577A0">
      <w:pPr>
        <w:spacing w:line="600" w:lineRule="exact"/>
        <w:ind w:firstLine="2311" w:firstLineChars="642"/>
        <w:rPr>
          <w:color w:val="auto"/>
          <w:spacing w:val="40"/>
          <w:sz w:val="28"/>
          <w:szCs w:val="28"/>
          <w:highlight w:val="none"/>
        </w:rPr>
      </w:pPr>
      <w:r>
        <w:rPr>
          <w:color w:val="auto"/>
          <w:spacing w:val="40"/>
          <w:sz w:val="28"/>
          <w:szCs w:val="28"/>
          <w:highlight w:val="none"/>
        </w:rPr>
        <w:t xml:space="preserve"> </w:t>
      </w:r>
    </w:p>
    <w:p w14:paraId="69A57CB1">
      <w:pPr>
        <w:spacing w:line="480" w:lineRule="auto"/>
        <w:ind w:firstLine="2311" w:firstLineChars="642"/>
        <w:rPr>
          <w:color w:val="auto"/>
          <w:spacing w:val="40"/>
          <w:sz w:val="28"/>
          <w:szCs w:val="28"/>
          <w:highlight w:val="none"/>
        </w:rPr>
      </w:pPr>
      <w:r>
        <w:rPr>
          <w:color w:val="auto"/>
          <w:spacing w:val="40"/>
          <w:sz w:val="28"/>
          <w:szCs w:val="28"/>
          <w:highlight w:val="none"/>
        </w:rPr>
        <w:t xml:space="preserve"> </w:t>
      </w:r>
    </w:p>
    <w:p w14:paraId="64A2A606">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7E6C1FF8">
      <w:pPr>
        <w:spacing w:line="480" w:lineRule="auto"/>
        <w:ind w:firstLine="2800" w:firstLineChars="1000"/>
        <w:rPr>
          <w:color w:val="auto"/>
          <w:sz w:val="28"/>
          <w:szCs w:val="28"/>
          <w:highlight w:val="none"/>
        </w:rPr>
      </w:pPr>
      <w:r>
        <w:rPr>
          <w:rFonts w:hint="eastAsia" w:ascii="宋体" w:hAnsi="宋体"/>
          <w:color w:val="auto"/>
          <w:sz w:val="28"/>
          <w:szCs w:val="28"/>
          <w:highlight w:val="none"/>
        </w:rPr>
        <w:t>第二部分</w:t>
      </w:r>
      <w:r>
        <w:rPr>
          <w:color w:val="auto"/>
          <w:sz w:val="28"/>
          <w:szCs w:val="28"/>
          <w:highlight w:val="none"/>
        </w:rPr>
        <w:t xml:space="preserve">  </w:t>
      </w:r>
      <w:r>
        <w:rPr>
          <w:rFonts w:hint="eastAsia" w:ascii="宋体" w:hAnsi="宋体"/>
          <w:color w:val="auto"/>
          <w:sz w:val="28"/>
          <w:szCs w:val="28"/>
          <w:highlight w:val="none"/>
        </w:rPr>
        <w:t>合同附件</w:t>
      </w:r>
    </w:p>
    <w:p w14:paraId="1E39D9EE">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1</w:t>
      </w:r>
      <w:r>
        <w:rPr>
          <w:rFonts w:hint="eastAsia" w:ascii="宋体" w:hAnsi="宋体"/>
          <w:color w:val="auto"/>
          <w:sz w:val="24"/>
          <w:highlight w:val="none"/>
        </w:rPr>
        <w:t>：项目采购需求</w:t>
      </w:r>
    </w:p>
    <w:p w14:paraId="17376EE7">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2</w:t>
      </w:r>
      <w:r>
        <w:rPr>
          <w:rFonts w:hint="eastAsia" w:ascii="宋体" w:hAnsi="宋体"/>
          <w:color w:val="auto"/>
          <w:sz w:val="24"/>
          <w:highlight w:val="none"/>
        </w:rPr>
        <w:t>：响应函</w:t>
      </w:r>
    </w:p>
    <w:p w14:paraId="40F879E5">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3</w:t>
      </w:r>
      <w:r>
        <w:rPr>
          <w:rFonts w:hint="eastAsia" w:ascii="宋体" w:hAnsi="宋体"/>
          <w:color w:val="auto"/>
          <w:sz w:val="24"/>
          <w:highlight w:val="none"/>
        </w:rPr>
        <w:t>：响应报价明细表</w:t>
      </w:r>
    </w:p>
    <w:p w14:paraId="4FF0FFA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4</w:t>
      </w:r>
      <w:r>
        <w:rPr>
          <w:rFonts w:hint="eastAsia" w:ascii="宋体" w:hAnsi="宋体"/>
          <w:color w:val="auto"/>
          <w:sz w:val="24"/>
          <w:highlight w:val="none"/>
        </w:rPr>
        <w:t>：商务、技术响应表</w:t>
      </w:r>
    </w:p>
    <w:p w14:paraId="46C3CA44">
      <w:pPr>
        <w:spacing w:line="480" w:lineRule="auto"/>
        <w:ind w:firstLine="2880" w:firstLineChars="1200"/>
        <w:rPr>
          <w:color w:val="auto"/>
          <w:sz w:val="24"/>
          <w:highlight w:val="none"/>
        </w:rPr>
      </w:pPr>
      <w:r>
        <w:rPr>
          <w:rFonts w:hint="eastAsia" w:ascii="宋体" w:hAnsi="宋体"/>
          <w:color w:val="auto"/>
          <w:sz w:val="24"/>
          <w:highlight w:val="none"/>
        </w:rPr>
        <w:t>附件</w:t>
      </w:r>
      <w:r>
        <w:rPr>
          <w:color w:val="auto"/>
          <w:sz w:val="24"/>
          <w:highlight w:val="none"/>
        </w:rPr>
        <w:t>5</w:t>
      </w:r>
      <w:r>
        <w:rPr>
          <w:rFonts w:hint="eastAsia" w:ascii="宋体" w:hAnsi="宋体"/>
          <w:color w:val="auto"/>
          <w:sz w:val="24"/>
          <w:highlight w:val="none"/>
        </w:rPr>
        <w:t>：售后服务承诺</w:t>
      </w:r>
    </w:p>
    <w:p w14:paraId="02666C08">
      <w:pPr>
        <w:spacing w:line="480" w:lineRule="auto"/>
        <w:ind w:firstLine="2880" w:firstLineChars="1200"/>
        <w:rPr>
          <w:color w:val="auto"/>
          <w:highlight w:val="none"/>
        </w:rPr>
      </w:pPr>
      <w:r>
        <w:rPr>
          <w:rFonts w:hint="eastAsia" w:ascii="宋体" w:hAnsi="宋体"/>
          <w:color w:val="auto"/>
          <w:sz w:val="24"/>
          <w:highlight w:val="none"/>
        </w:rPr>
        <w:t>附件</w:t>
      </w:r>
      <w:r>
        <w:rPr>
          <w:color w:val="auto"/>
          <w:sz w:val="24"/>
          <w:highlight w:val="none"/>
        </w:rPr>
        <w:t>6</w:t>
      </w:r>
      <w:r>
        <w:rPr>
          <w:rFonts w:hint="eastAsia" w:ascii="宋体" w:hAnsi="宋体"/>
          <w:color w:val="auto"/>
          <w:sz w:val="24"/>
          <w:highlight w:val="none"/>
        </w:rPr>
        <w:t>：成交通知书</w:t>
      </w:r>
    </w:p>
    <w:p w14:paraId="27551B41">
      <w:pPr>
        <w:spacing w:line="480" w:lineRule="auto"/>
        <w:rPr>
          <w:color w:val="auto"/>
          <w:sz w:val="24"/>
          <w:highlight w:val="none"/>
        </w:rPr>
        <w:sectPr>
          <w:pgSz w:w="11906" w:h="16838"/>
          <w:pgMar w:top="1440" w:right="1080" w:bottom="1440" w:left="1080" w:header="851" w:footer="992" w:gutter="0"/>
          <w:pgNumType w:fmt="decimal"/>
          <w:cols w:space="720" w:num="1"/>
          <w:docGrid w:type="lines" w:linePitch="312" w:charSpace="0"/>
        </w:sectPr>
      </w:pPr>
    </w:p>
    <w:p w14:paraId="2E03E56F">
      <w:pPr>
        <w:spacing w:before="120" w:line="320" w:lineRule="atLeast"/>
        <w:ind w:firstLine="560" w:firstLineChars="200"/>
        <w:jc w:val="center"/>
        <w:outlineLvl w:val="1"/>
        <w:rPr>
          <w:rFonts w:ascii="宋体" w:hAnsi="宋体"/>
          <w:b/>
          <w:bCs/>
          <w:color w:val="auto"/>
          <w:kern w:val="0"/>
          <w:sz w:val="36"/>
          <w:szCs w:val="36"/>
          <w:highlight w:val="none"/>
        </w:rPr>
      </w:pPr>
      <w:r>
        <w:rPr>
          <w:rFonts w:hint="eastAsia" w:ascii="宋体" w:hAnsi="宋体"/>
          <w:color w:val="auto"/>
          <w:sz w:val="28"/>
          <w:szCs w:val="28"/>
          <w:highlight w:val="none"/>
        </w:rPr>
        <w:t>第一部分</w:t>
      </w:r>
      <w:r>
        <w:rPr>
          <w:color w:val="auto"/>
          <w:sz w:val="28"/>
          <w:szCs w:val="28"/>
          <w:highlight w:val="none"/>
        </w:rPr>
        <w:t xml:space="preserve">  </w:t>
      </w:r>
      <w:r>
        <w:rPr>
          <w:rFonts w:hint="eastAsia" w:ascii="宋体" w:hAnsi="宋体"/>
          <w:color w:val="auto"/>
          <w:sz w:val="28"/>
          <w:szCs w:val="28"/>
          <w:highlight w:val="none"/>
        </w:rPr>
        <w:t>合同主要条款</w:t>
      </w:r>
    </w:p>
    <w:p w14:paraId="12042DD9">
      <w:pPr>
        <w:spacing w:before="120" w:line="320" w:lineRule="atLeast"/>
        <w:ind w:firstLine="723" w:firstLineChars="200"/>
        <w:jc w:val="center"/>
        <w:outlineLvl w:val="1"/>
        <w:rPr>
          <w:b/>
          <w:bCs/>
          <w:color w:val="auto"/>
          <w:kern w:val="0"/>
          <w:sz w:val="36"/>
          <w:szCs w:val="36"/>
          <w:highlight w:val="none"/>
        </w:rPr>
      </w:pPr>
      <w:r>
        <w:rPr>
          <w:rFonts w:hint="eastAsia" w:ascii="宋体" w:hAnsi="宋体"/>
          <w:b/>
          <w:bCs/>
          <w:color w:val="auto"/>
          <w:kern w:val="0"/>
          <w:sz w:val="36"/>
          <w:szCs w:val="36"/>
          <w:highlight w:val="none"/>
        </w:rPr>
        <w:t>广西壮族自治区政府采购合同</w:t>
      </w:r>
    </w:p>
    <w:p w14:paraId="599BFFD1">
      <w:pPr>
        <w:snapToGrid w:val="0"/>
        <w:spacing w:line="360" w:lineRule="exact"/>
        <w:ind w:right="480"/>
        <w:rPr>
          <w:rFonts w:ascii="宋体" w:hAnsi="宋体"/>
          <w:bCs/>
          <w:color w:val="auto"/>
          <w:highlight w:val="none"/>
        </w:rPr>
      </w:pPr>
      <w:r>
        <w:rPr>
          <w:rFonts w:hint="eastAsia" w:ascii="宋体" w:hAnsi="宋体"/>
          <w:bCs/>
          <w:color w:val="auto"/>
          <w:highlight w:val="none"/>
        </w:rPr>
        <w:t xml:space="preserve"> </w:t>
      </w:r>
    </w:p>
    <w:p w14:paraId="19873D89">
      <w:pPr>
        <w:snapToGrid w:val="0"/>
        <w:spacing w:line="360" w:lineRule="exact"/>
        <w:ind w:right="480"/>
        <w:rPr>
          <w:rFonts w:ascii="仿宋" w:hAnsi="仿宋" w:eastAsia="仿宋"/>
          <w:bCs/>
          <w:color w:val="auto"/>
          <w:sz w:val="24"/>
          <w:highlight w:val="none"/>
        </w:rPr>
      </w:pPr>
      <w:r>
        <w:rPr>
          <w:rFonts w:hint="eastAsia" w:ascii="仿宋" w:hAnsi="仿宋" w:eastAsia="仿宋"/>
          <w:bCs/>
          <w:color w:val="auto"/>
          <w:sz w:val="24"/>
          <w:highlight w:val="none"/>
        </w:rPr>
        <w:t xml:space="preserve">合同编号：                                           </w:t>
      </w:r>
    </w:p>
    <w:p w14:paraId="1943F84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采购单位（甲方）：广西壮族自治区工业和信息化厅  </w:t>
      </w:r>
    </w:p>
    <w:p w14:paraId="4A64DECF">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供 应 商（乙方）：                             </w:t>
      </w:r>
    </w:p>
    <w:p w14:paraId="40B6DED6">
      <w:pPr>
        <w:autoSpaceDE w:val="0"/>
        <w:snapToGrid w:val="0"/>
        <w:spacing w:line="440" w:lineRule="exact"/>
        <w:rPr>
          <w:rFonts w:ascii="仿宋" w:hAnsi="仿宋" w:eastAsia="仿宋"/>
          <w:color w:val="auto"/>
          <w:sz w:val="24"/>
          <w:highlight w:val="none"/>
        </w:rPr>
      </w:pPr>
      <w:r>
        <w:rPr>
          <w:rFonts w:hint="eastAsia" w:ascii="仿宋" w:hAnsi="仿宋" w:eastAsia="仿宋"/>
          <w:color w:val="auto"/>
          <w:spacing w:val="-20"/>
          <w:sz w:val="24"/>
          <w:highlight w:val="none"/>
        </w:rPr>
        <w:t>采购计划号：</w:t>
      </w:r>
      <w:r>
        <w:rPr>
          <w:rFonts w:hint="eastAsia" w:ascii="仿宋" w:hAnsi="仿宋" w:eastAsia="仿宋"/>
          <w:color w:val="auto"/>
          <w:sz w:val="24"/>
          <w:highlight w:val="none"/>
        </w:rPr>
        <w:t xml:space="preserve">                       项目</w:t>
      </w:r>
      <w:r>
        <w:rPr>
          <w:rFonts w:hint="eastAsia" w:ascii="仿宋" w:hAnsi="仿宋" w:eastAsia="仿宋"/>
          <w:color w:val="auto"/>
          <w:spacing w:val="-20"/>
          <w:sz w:val="24"/>
          <w:highlight w:val="none"/>
        </w:rPr>
        <w:t>编号：</w:t>
      </w:r>
      <w:r>
        <w:rPr>
          <w:rFonts w:hint="eastAsia" w:ascii="仿宋" w:hAnsi="仿宋" w:eastAsia="仿宋"/>
          <w:color w:val="auto"/>
          <w:sz w:val="24"/>
          <w:highlight w:val="none"/>
        </w:rPr>
        <w:t xml:space="preserve">                      </w:t>
      </w:r>
    </w:p>
    <w:p w14:paraId="42BB356D">
      <w:pPr>
        <w:autoSpaceDE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项目名称：                                  </w:t>
      </w:r>
    </w:p>
    <w:p w14:paraId="5BDF622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签订地点：南宁市                     签订时间：       年   月  日 </w:t>
      </w:r>
    </w:p>
    <w:p w14:paraId="6C88B981">
      <w:pPr>
        <w:snapToGrid w:val="0"/>
        <w:spacing w:line="36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p w14:paraId="4F9C035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根据《中华人民共和国政府采购法》、《政府采购货物和服务招标投标管理办法》、《中华人民共和国民法典》等法律、法规规定，按照招标文件规定和乙方投标文件及其承诺，甲乙双方经友好协商，就     项目（项目合同编号      ）采购相关事宜，达成如下条款，供双方共同遵守。</w:t>
      </w:r>
    </w:p>
    <w:p w14:paraId="391C7C38">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第一条 合同标的</w:t>
      </w:r>
    </w:p>
    <w:p w14:paraId="06E88EED">
      <w:pPr>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1.服务内容一览表</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732"/>
        <w:gridCol w:w="2508"/>
        <w:gridCol w:w="850"/>
        <w:gridCol w:w="759"/>
        <w:gridCol w:w="1276"/>
        <w:gridCol w:w="1296"/>
      </w:tblGrid>
      <w:tr w14:paraId="1F1A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4F2F0F02">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序号</w:t>
            </w:r>
          </w:p>
        </w:tc>
        <w:tc>
          <w:tcPr>
            <w:tcW w:w="1732" w:type="dxa"/>
            <w:tcBorders>
              <w:top w:val="single" w:color="auto" w:sz="4" w:space="0"/>
              <w:left w:val="single" w:color="auto" w:sz="4" w:space="0"/>
              <w:bottom w:val="single" w:color="auto" w:sz="4" w:space="0"/>
              <w:right w:val="single" w:color="auto" w:sz="4" w:space="0"/>
            </w:tcBorders>
            <w:vAlign w:val="center"/>
          </w:tcPr>
          <w:p w14:paraId="5F83B4C6">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项目名称</w:t>
            </w:r>
          </w:p>
        </w:tc>
        <w:tc>
          <w:tcPr>
            <w:tcW w:w="2508" w:type="dxa"/>
            <w:tcBorders>
              <w:top w:val="single" w:color="auto" w:sz="4" w:space="0"/>
              <w:left w:val="single" w:color="auto" w:sz="4" w:space="0"/>
              <w:bottom w:val="single" w:color="auto" w:sz="4" w:space="0"/>
              <w:right w:val="single" w:color="auto" w:sz="4" w:space="0"/>
            </w:tcBorders>
            <w:vAlign w:val="center"/>
          </w:tcPr>
          <w:p w14:paraId="59E11ADC">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服务内容</w:t>
            </w:r>
          </w:p>
        </w:tc>
        <w:tc>
          <w:tcPr>
            <w:tcW w:w="850" w:type="dxa"/>
            <w:tcBorders>
              <w:top w:val="single" w:color="auto" w:sz="4" w:space="0"/>
              <w:left w:val="single" w:color="auto" w:sz="4" w:space="0"/>
              <w:bottom w:val="single" w:color="auto" w:sz="4" w:space="0"/>
              <w:right w:val="single" w:color="auto" w:sz="4" w:space="0"/>
            </w:tcBorders>
            <w:vAlign w:val="center"/>
          </w:tcPr>
          <w:p w14:paraId="16941B81">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数量</w:t>
            </w:r>
          </w:p>
        </w:tc>
        <w:tc>
          <w:tcPr>
            <w:tcW w:w="759" w:type="dxa"/>
            <w:tcBorders>
              <w:top w:val="single" w:color="auto" w:sz="4" w:space="0"/>
              <w:left w:val="single" w:color="auto" w:sz="4" w:space="0"/>
              <w:bottom w:val="single" w:color="auto" w:sz="4" w:space="0"/>
              <w:right w:val="single" w:color="auto" w:sz="4" w:space="0"/>
            </w:tcBorders>
            <w:vAlign w:val="center"/>
          </w:tcPr>
          <w:p w14:paraId="056589AF">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单位</w:t>
            </w:r>
          </w:p>
        </w:tc>
        <w:tc>
          <w:tcPr>
            <w:tcW w:w="1276" w:type="dxa"/>
            <w:tcBorders>
              <w:top w:val="single" w:color="auto" w:sz="4" w:space="0"/>
              <w:left w:val="single" w:color="auto" w:sz="4" w:space="0"/>
              <w:bottom w:val="single" w:color="auto" w:sz="4" w:space="0"/>
              <w:right w:val="single" w:color="auto" w:sz="4" w:space="0"/>
            </w:tcBorders>
            <w:vAlign w:val="center"/>
          </w:tcPr>
          <w:p w14:paraId="44FC7173">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单价（元）</w:t>
            </w:r>
          </w:p>
        </w:tc>
        <w:tc>
          <w:tcPr>
            <w:tcW w:w="1296" w:type="dxa"/>
            <w:tcBorders>
              <w:top w:val="single" w:color="auto" w:sz="4" w:space="0"/>
              <w:left w:val="single" w:color="auto" w:sz="4" w:space="0"/>
              <w:bottom w:val="single" w:color="auto" w:sz="4" w:space="0"/>
              <w:right w:val="single" w:color="auto" w:sz="4" w:space="0"/>
            </w:tcBorders>
            <w:vAlign w:val="center"/>
          </w:tcPr>
          <w:p w14:paraId="3FE2568B">
            <w:pPr>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金额（元）</w:t>
            </w:r>
          </w:p>
        </w:tc>
      </w:tr>
      <w:tr w14:paraId="2B05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08FA7C62">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1</w:t>
            </w:r>
          </w:p>
        </w:tc>
        <w:tc>
          <w:tcPr>
            <w:tcW w:w="1732" w:type="dxa"/>
            <w:tcBorders>
              <w:top w:val="single" w:color="auto" w:sz="4" w:space="0"/>
              <w:left w:val="single" w:color="auto" w:sz="4" w:space="0"/>
              <w:bottom w:val="single" w:color="auto" w:sz="4" w:space="0"/>
              <w:right w:val="single" w:color="auto" w:sz="4" w:space="0"/>
            </w:tcBorders>
            <w:vAlign w:val="center"/>
          </w:tcPr>
          <w:p w14:paraId="5DA24E6B">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1F53ADF0">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2213F81D">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2D02E0D8">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4DA7416">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66787D4F">
            <w:pPr>
              <w:snapToGrid w:val="0"/>
              <w:spacing w:line="440" w:lineRule="exact"/>
              <w:jc w:val="center"/>
              <w:rPr>
                <w:rFonts w:ascii="仿宋" w:hAnsi="仿宋" w:eastAsia="仿宋"/>
                <w:color w:val="auto"/>
                <w:sz w:val="24"/>
                <w:highlight w:val="none"/>
              </w:rPr>
            </w:pPr>
          </w:p>
        </w:tc>
      </w:tr>
      <w:tr w14:paraId="44CB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63AEE4D1">
            <w:pPr>
              <w:snapToGrid w:val="0"/>
              <w:spacing w:line="440" w:lineRule="exact"/>
              <w:jc w:val="center"/>
              <w:rPr>
                <w:rFonts w:ascii="仿宋" w:hAnsi="仿宋" w:eastAsia="仿宋"/>
                <w:color w:val="auto"/>
                <w:sz w:val="24"/>
                <w:highlight w:val="none"/>
              </w:rPr>
            </w:pPr>
            <w:r>
              <w:rPr>
                <w:rFonts w:hint="eastAsia" w:ascii="仿宋" w:hAnsi="仿宋" w:eastAsia="仿宋"/>
                <w:color w:val="auto"/>
                <w:sz w:val="24"/>
                <w:highlight w:val="none"/>
              </w:rPr>
              <w:t>...</w:t>
            </w:r>
          </w:p>
        </w:tc>
        <w:tc>
          <w:tcPr>
            <w:tcW w:w="1732" w:type="dxa"/>
            <w:tcBorders>
              <w:top w:val="single" w:color="auto" w:sz="4" w:space="0"/>
              <w:left w:val="single" w:color="auto" w:sz="4" w:space="0"/>
              <w:bottom w:val="single" w:color="auto" w:sz="4" w:space="0"/>
              <w:right w:val="single" w:color="auto" w:sz="4" w:space="0"/>
            </w:tcBorders>
            <w:vAlign w:val="center"/>
          </w:tcPr>
          <w:p w14:paraId="67007FFF">
            <w:pPr>
              <w:snapToGrid w:val="0"/>
              <w:spacing w:line="440" w:lineRule="exact"/>
              <w:jc w:val="center"/>
              <w:rPr>
                <w:rFonts w:ascii="仿宋" w:hAnsi="仿宋" w:eastAsia="仿宋"/>
                <w:color w:val="auto"/>
                <w:sz w:val="24"/>
                <w:highlight w:val="none"/>
              </w:rPr>
            </w:pPr>
          </w:p>
        </w:tc>
        <w:tc>
          <w:tcPr>
            <w:tcW w:w="2508" w:type="dxa"/>
            <w:tcBorders>
              <w:top w:val="single" w:color="auto" w:sz="4" w:space="0"/>
              <w:left w:val="single" w:color="auto" w:sz="4" w:space="0"/>
              <w:bottom w:val="single" w:color="auto" w:sz="4" w:space="0"/>
              <w:right w:val="single" w:color="auto" w:sz="4" w:space="0"/>
            </w:tcBorders>
            <w:vAlign w:val="center"/>
          </w:tcPr>
          <w:p w14:paraId="0C67F2DB">
            <w:pPr>
              <w:snapToGrid w:val="0"/>
              <w:spacing w:line="440" w:lineRule="exact"/>
              <w:jc w:val="center"/>
              <w:rPr>
                <w:rFonts w:ascii="仿宋" w:hAnsi="仿宋" w:eastAsia="仿宋"/>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14:paraId="6D26C9F4">
            <w:pPr>
              <w:snapToGrid w:val="0"/>
              <w:spacing w:line="440" w:lineRule="exact"/>
              <w:jc w:val="center"/>
              <w:rPr>
                <w:rFonts w:ascii="仿宋" w:hAnsi="仿宋" w:eastAsia="仿宋"/>
                <w:color w:val="auto"/>
                <w:sz w:val="24"/>
                <w:highlight w:val="none"/>
              </w:rPr>
            </w:pPr>
          </w:p>
        </w:tc>
        <w:tc>
          <w:tcPr>
            <w:tcW w:w="759" w:type="dxa"/>
            <w:tcBorders>
              <w:top w:val="single" w:color="auto" w:sz="4" w:space="0"/>
              <w:left w:val="single" w:color="auto" w:sz="4" w:space="0"/>
              <w:bottom w:val="single" w:color="auto" w:sz="4" w:space="0"/>
              <w:right w:val="single" w:color="auto" w:sz="4" w:space="0"/>
            </w:tcBorders>
            <w:vAlign w:val="center"/>
          </w:tcPr>
          <w:p w14:paraId="7D8364BC">
            <w:pPr>
              <w:snapToGrid w:val="0"/>
              <w:spacing w:line="440" w:lineRule="exact"/>
              <w:jc w:val="center"/>
              <w:rPr>
                <w:rFonts w:ascii="仿宋" w:hAnsi="仿宋" w:eastAsia="仿宋"/>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3A3ED42">
            <w:pPr>
              <w:snapToGrid w:val="0"/>
              <w:spacing w:line="440" w:lineRule="exact"/>
              <w:jc w:val="center"/>
              <w:rPr>
                <w:rFonts w:ascii="仿宋" w:hAnsi="仿宋" w:eastAsia="仿宋"/>
                <w:color w:val="auto"/>
                <w:sz w:val="24"/>
                <w:highlight w:val="none"/>
              </w:rPr>
            </w:pPr>
          </w:p>
        </w:tc>
        <w:tc>
          <w:tcPr>
            <w:tcW w:w="1296" w:type="dxa"/>
            <w:tcBorders>
              <w:top w:val="single" w:color="auto" w:sz="4" w:space="0"/>
              <w:left w:val="single" w:color="auto" w:sz="4" w:space="0"/>
              <w:bottom w:val="single" w:color="auto" w:sz="4" w:space="0"/>
              <w:right w:val="single" w:color="auto" w:sz="4" w:space="0"/>
            </w:tcBorders>
            <w:vAlign w:val="center"/>
          </w:tcPr>
          <w:p w14:paraId="0EFBA2E4">
            <w:pPr>
              <w:snapToGrid w:val="0"/>
              <w:spacing w:line="440" w:lineRule="exact"/>
              <w:jc w:val="center"/>
              <w:rPr>
                <w:rFonts w:ascii="仿宋" w:hAnsi="仿宋" w:eastAsia="仿宋"/>
                <w:color w:val="auto"/>
                <w:sz w:val="24"/>
                <w:highlight w:val="none"/>
              </w:rPr>
            </w:pPr>
          </w:p>
        </w:tc>
      </w:tr>
      <w:tr w14:paraId="1CC4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9057" w:type="dxa"/>
            <w:gridSpan w:val="7"/>
            <w:tcBorders>
              <w:top w:val="single" w:color="auto" w:sz="4" w:space="0"/>
              <w:left w:val="single" w:color="auto" w:sz="4" w:space="0"/>
              <w:bottom w:val="single" w:color="auto" w:sz="4" w:space="0"/>
              <w:right w:val="single" w:color="auto" w:sz="4" w:space="0"/>
            </w:tcBorders>
            <w:vAlign w:val="center"/>
          </w:tcPr>
          <w:p w14:paraId="5F97969B">
            <w:pPr>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 xml:space="preserve">人民币合计金额（大写）                          （小写）            </w:t>
            </w:r>
          </w:p>
        </w:tc>
      </w:tr>
    </w:tbl>
    <w:p w14:paraId="605F9E5A">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2.合同价格形式：合同总价为人民币       元，此价格为固定总价，不会因为市场变化或者其他因素调整。 </w:t>
      </w:r>
    </w:p>
    <w:p w14:paraId="029F8E70">
      <w:pPr>
        <w:pStyle w:val="27"/>
        <w:autoSpaceDE w:val="0"/>
        <w:spacing w:line="440" w:lineRule="exact"/>
        <w:ind w:firstLine="480" w:firstLineChars="200"/>
        <w:rPr>
          <w:rFonts w:ascii="仿宋" w:hAnsi="仿宋" w:eastAsia="仿宋"/>
          <w:b/>
          <w:color w:val="auto"/>
          <w:sz w:val="24"/>
          <w:szCs w:val="24"/>
          <w:highlight w:val="none"/>
        </w:rPr>
      </w:pPr>
      <w:r>
        <w:rPr>
          <w:rFonts w:hint="eastAsia" w:ascii="仿宋" w:hAnsi="仿宋" w:eastAsia="仿宋"/>
          <w:color w:val="auto"/>
          <w:sz w:val="24"/>
          <w:szCs w:val="24"/>
          <w:highlight w:val="none"/>
        </w:rPr>
        <w:t xml:space="preserve">3.合同合计金额包括服务、备件、专用工具、安装调试、检验、技术培训、技术资料、包装、运输、税金等等类似服务内容的全部费用。如招标文件对其另有规定的，从其规定。 </w:t>
      </w:r>
    </w:p>
    <w:p w14:paraId="02306F9E">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第二条  质量保证</w:t>
      </w:r>
    </w:p>
    <w:p w14:paraId="283E11D1">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1.乙方所提供的服务内容必须与招标文件、投标文件和承诺相一致且符合相应的服务规范及标准。</w:t>
      </w:r>
    </w:p>
    <w:p w14:paraId="459A3030">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2.乙方提供不符合招投标文件和本合同规定的服务内容，甲方有权拒绝接受。</w:t>
      </w:r>
    </w:p>
    <w:p w14:paraId="2B17A933">
      <w:pPr>
        <w:pStyle w:val="33"/>
        <w:rPr>
          <w:rFonts w:ascii="仿宋" w:hAnsi="仿宋" w:eastAsia="仿宋" w:cs="Courier New"/>
          <w:color w:val="auto"/>
          <w:sz w:val="24"/>
          <w:szCs w:val="24"/>
          <w:highlight w:val="none"/>
        </w:rPr>
      </w:pPr>
      <w:r>
        <w:rPr>
          <w:rFonts w:hint="eastAsia"/>
          <w:color w:val="auto"/>
          <w:highlight w:val="none"/>
        </w:rPr>
        <w:t xml:space="preserve">   </w:t>
      </w:r>
      <w:r>
        <w:rPr>
          <w:rFonts w:hint="eastAsia" w:ascii="仿宋" w:hAnsi="仿宋" w:eastAsia="仿宋" w:cs="Courier New"/>
          <w:color w:val="auto"/>
          <w:sz w:val="24"/>
          <w:szCs w:val="24"/>
          <w:highlight w:val="none"/>
        </w:rPr>
        <w:t xml:space="preserve">  3.乙方提供的商品或者服务有欺诈行为，甲方有权要求乙方赔偿的金额为本合同总金额的三倍。</w:t>
      </w:r>
    </w:p>
    <w:p w14:paraId="59C26484">
      <w:pPr>
        <w:pStyle w:val="33"/>
        <w:ind w:firstLine="480" w:firstLineChars="200"/>
        <w:rPr>
          <w:rFonts w:eastAsia="仿宋"/>
          <w:color w:val="auto"/>
          <w:sz w:val="24"/>
          <w:szCs w:val="24"/>
          <w:highlight w:val="none"/>
        </w:rPr>
      </w:pPr>
      <w:r>
        <w:rPr>
          <w:rFonts w:hint="eastAsia" w:ascii="仿宋" w:hAnsi="仿宋" w:eastAsia="仿宋" w:cs="Courier New"/>
          <w:color w:val="auto"/>
          <w:sz w:val="24"/>
          <w:szCs w:val="24"/>
          <w:highlight w:val="none"/>
        </w:rPr>
        <w:t>4.乙方提供的服务造成他人财产、人身损害的，应承担赔偿责任。</w:t>
      </w:r>
    </w:p>
    <w:p w14:paraId="05307AF9">
      <w:pPr>
        <w:rPr>
          <w:color w:val="auto"/>
          <w:highlight w:val="none"/>
        </w:rPr>
      </w:pPr>
    </w:p>
    <w:p w14:paraId="766188D3">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第三条  权利保证</w:t>
      </w:r>
    </w:p>
    <w:p w14:paraId="78A6D966">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1.乙方应保证所提供的服务在使用时不会侵犯任何第三方的专利权、商标权、工业设计权或其他权利。</w:t>
      </w:r>
    </w:p>
    <w:p w14:paraId="3F845435">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2.乙方应按招标文件规定的时间向甲方提供服务的有关技术资料。</w:t>
      </w:r>
    </w:p>
    <w:p w14:paraId="0A4A1996">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3.没有甲方事先书面同意，乙方不得将由甲方提供的有关合同或任何合同条文、规格、计划、图纸、样品或资料提供给与履行本合同无关的任何其他人。即使向履行本合同有关的人员提供，也应注意保密并限于履行合同的必需范围。如有泄漏，乙方需承担相应的法律责任。</w:t>
      </w:r>
    </w:p>
    <w:p w14:paraId="3F1BF9A1">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4.如采购项目涉及采购标的的知识产权归属的，产权归属为：甲方所有。</w:t>
      </w:r>
    </w:p>
    <w:p w14:paraId="0BC54949">
      <w:pPr>
        <w:pStyle w:val="27"/>
        <w:autoSpaceDE w:val="0"/>
        <w:spacing w:line="440" w:lineRule="exact"/>
        <w:ind w:firstLine="480" w:firstLineChars="200"/>
        <w:rPr>
          <w:rFonts w:ascii="仿宋" w:hAnsi="仿宋" w:eastAsia="仿宋"/>
          <w:color w:val="auto"/>
          <w:sz w:val="24"/>
          <w:szCs w:val="24"/>
          <w:highlight w:val="none"/>
        </w:rPr>
      </w:pPr>
      <w:r>
        <w:rPr>
          <w:rFonts w:hint="eastAsia" w:ascii="仿宋" w:hAnsi="仿宋" w:eastAsia="仿宋"/>
          <w:color w:val="auto"/>
          <w:sz w:val="24"/>
          <w:szCs w:val="24"/>
          <w:highlight w:val="none"/>
        </w:rPr>
        <w:t>5.如果甲方在使用乙方提供的服务时，受到第三方提出的侵犯其知识产权的起诉，给甲方造成经济损失的，乙方应当赔偿甲方的经济损失。</w:t>
      </w:r>
    </w:p>
    <w:p w14:paraId="731F30C3">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第四条  交付和验收</w:t>
      </w:r>
    </w:p>
    <w:p w14:paraId="409F0B7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1.服务期限：          起至          。交付地点： 甲方指定地点。</w:t>
      </w:r>
    </w:p>
    <w:p w14:paraId="1BFC0CD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2.乙方应按响应文件的承诺向甲方提供相应的服务，并提供所服务内容的相关技术资料。</w:t>
      </w:r>
    </w:p>
    <w:p w14:paraId="4C18419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3.乙方提供不符合响应文件和本合同规定的服务成果，甲方有权拒绝接受。</w:t>
      </w:r>
    </w:p>
    <w:p w14:paraId="352A01C1">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4.乙方完成服务后应及时书面通知甲方进行验收，验收合格后由甲乙双方签署验收单并加盖甲乙双方单位公章，甲乙双方各执一份。</w:t>
      </w:r>
    </w:p>
    <w:p w14:paraId="410F7CD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5.甲乙双方应按照《广西壮族自治区政府采购项目履约验收管理办法》、双方合同、响应文件验收。</w:t>
      </w:r>
    </w:p>
    <w:p w14:paraId="093BF30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6.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1845D273">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7.甲方在初步验收或者最终验收过程中如发现乙方提供的服务成果不满足响应文件及本合同规定的，可暂缓向乙方付款，直到乙方及时完善并提交相应的服务成果且经甲方验收合格后，方可办理付款。</w:t>
      </w:r>
    </w:p>
    <w:p w14:paraId="076C6A6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8.甲方验收时以书面形式提出异议的，乙方应自收到甲方书面异议后五个工作日内及时予以解决，否则甲方有权不出具服务验收合格单。</w:t>
      </w:r>
    </w:p>
    <w:p w14:paraId="4D816782">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 xml:space="preserve">第五条  履约保证金   </w:t>
      </w:r>
    </w:p>
    <w:p w14:paraId="51F4DB1B">
      <w:pPr>
        <w:autoSpaceDE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本合同履约保证金金额：无。</w:t>
      </w:r>
    </w:p>
    <w:p w14:paraId="45A6FF7F">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第六条  税费</w:t>
      </w:r>
    </w:p>
    <w:p w14:paraId="34E736E5">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本合同执行中相关的一切税费均由乙方负担。</w:t>
      </w:r>
    </w:p>
    <w:p w14:paraId="2400C7F0">
      <w:pPr>
        <w:autoSpaceDE w:val="0"/>
        <w:snapToGrid w:val="0"/>
        <w:spacing w:line="440" w:lineRule="exact"/>
        <w:ind w:firstLine="482" w:firstLineChars="200"/>
        <w:rPr>
          <w:rFonts w:ascii="仿宋" w:hAnsi="仿宋" w:eastAsia="仿宋"/>
          <w:color w:val="auto"/>
          <w:sz w:val="24"/>
          <w:highlight w:val="none"/>
        </w:rPr>
      </w:pPr>
      <w:r>
        <w:rPr>
          <w:rFonts w:hint="eastAsia" w:ascii="仿宋" w:hAnsi="仿宋" w:eastAsia="仿宋"/>
          <w:b/>
          <w:color w:val="auto"/>
          <w:sz w:val="24"/>
          <w:highlight w:val="none"/>
        </w:rPr>
        <w:t>第七条  付款方式</w:t>
      </w:r>
    </w:p>
    <w:p w14:paraId="5015F02D">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1.资金性质：财政性资金。</w:t>
      </w:r>
    </w:p>
    <w:p w14:paraId="4B09A811">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2.付款方式：</w:t>
      </w:r>
    </w:p>
    <w:p w14:paraId="7F5F101F">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（1）合同签订后，甲方在</w:t>
      </w:r>
      <w:r>
        <w:rPr>
          <w:rFonts w:hint="eastAsia" w:ascii="仿宋" w:hAnsi="仿宋" w:eastAsia="仿宋"/>
          <w:color w:val="auto"/>
          <w:sz w:val="24"/>
          <w:highlight w:val="none"/>
          <w:lang w:val="en-US" w:eastAsia="zh-CN"/>
        </w:rPr>
        <w:t>15</w:t>
      </w:r>
      <w:r>
        <w:rPr>
          <w:rFonts w:hint="eastAsia" w:ascii="仿宋" w:hAnsi="仿宋" w:eastAsia="仿宋"/>
          <w:color w:val="auto"/>
          <w:sz w:val="24"/>
          <w:highlight w:val="none"/>
        </w:rPr>
        <w:t>个工作日内预付合同总价的50%（大写：      ）款项给乙方；乙方提供服务完毕且经验收合格后，甲方在</w:t>
      </w:r>
      <w:r>
        <w:rPr>
          <w:rFonts w:hint="eastAsia" w:ascii="仿宋" w:hAnsi="仿宋" w:eastAsia="仿宋"/>
          <w:color w:val="auto"/>
          <w:sz w:val="24"/>
          <w:highlight w:val="none"/>
          <w:lang w:val="en-US" w:eastAsia="zh-CN"/>
        </w:rPr>
        <w:t>15</w:t>
      </w:r>
      <w:r>
        <w:rPr>
          <w:rFonts w:hint="eastAsia" w:ascii="仿宋" w:hAnsi="仿宋" w:eastAsia="仿宋"/>
          <w:color w:val="auto"/>
          <w:sz w:val="24"/>
          <w:highlight w:val="none"/>
        </w:rPr>
        <w:t>个工作日内支付合同剩余50%（大写：      ）尾款给乙方。乙方每次收到款项之日起10个工作日内开具发票给甲方。</w:t>
      </w:r>
    </w:p>
    <w:p w14:paraId="1DC5071E">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（2）货款支付形式为：转账。</w:t>
      </w:r>
    </w:p>
    <w:p w14:paraId="7C44A3DD">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第八条  违约责任</w:t>
      </w:r>
    </w:p>
    <w:p w14:paraId="1A5DEAD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1.乙方提供的服务如侵犯了第三方合法权益而引发的任何纠纷或诉讼，均由乙方负责交涉并承担全部责任。</w:t>
      </w:r>
    </w:p>
    <w:p w14:paraId="0D8E4E58">
      <w:pPr>
        <w:autoSpaceDE w:val="0"/>
        <w:snapToGrid w:val="0"/>
        <w:spacing w:line="440" w:lineRule="exact"/>
        <w:ind w:firstLine="480" w:firstLineChars="200"/>
        <w:rPr>
          <w:rFonts w:ascii="仿宋" w:hAnsi="仿宋" w:eastAsia="仿宋"/>
          <w:b/>
          <w:color w:val="auto"/>
          <w:sz w:val="24"/>
          <w:highlight w:val="none"/>
        </w:rPr>
      </w:pPr>
      <w:r>
        <w:rPr>
          <w:rFonts w:hint="eastAsia" w:ascii="仿宋" w:hAnsi="仿宋" w:eastAsia="仿宋"/>
          <w:bCs/>
          <w:color w:val="auto"/>
          <w:sz w:val="24"/>
          <w:highlight w:val="none"/>
        </w:rPr>
        <w:t>2.乙方未按本合同和投标文件中规定的服务承诺提供服务或所提供的服务质量不合格的，乙方应按本合同合计金额 30% 向甲方支付违约金,如果违约金不足于赔偿甲方的损失，乙方应当足额赔偿甲方经济损失。</w:t>
      </w:r>
    </w:p>
    <w:p w14:paraId="607F561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第九条  不可抗力事件处理</w:t>
      </w:r>
    </w:p>
    <w:p w14:paraId="0DCBF02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1.在合同有效期内，任何一方因不可抗力事件导致不能履行合同，则合同履行期可延长，其延长期与不可抗力影响期相同。</w:t>
      </w:r>
    </w:p>
    <w:p w14:paraId="1DB0487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2.不可抗力事件发生后，应立即书面通知对方，并寄送有关权威机构出具的证明。</w:t>
      </w:r>
    </w:p>
    <w:p w14:paraId="0918E5A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3.不可抗力事件延续一百二十天以上，双方应通过友好协商，确定是否继续履行合同。</w:t>
      </w:r>
    </w:p>
    <w:p w14:paraId="49688FBC">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第十条  合同争议解决</w:t>
      </w:r>
    </w:p>
    <w:p w14:paraId="1B0ED88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1.因履行本合同引起的或与本合同有关的争议，甲乙双方应首先通过友好协商解决，如果协商不能解决，可向甲方所在地人民法院提起诉讼。</w:t>
      </w:r>
    </w:p>
    <w:p w14:paraId="06CA8766">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2.诉讼期间，本合同继续履行。</w:t>
      </w:r>
    </w:p>
    <w:p w14:paraId="2112A56E">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第十一条  合同生效及其它</w:t>
      </w:r>
    </w:p>
    <w:p w14:paraId="73C4D42A">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1．合同经双方法定代表人或授权代表签字并加盖单位公章后生效。</w:t>
      </w:r>
    </w:p>
    <w:p w14:paraId="4A79DF47">
      <w:pPr>
        <w:autoSpaceDE w:val="0"/>
        <w:snapToGrid w:val="0"/>
        <w:spacing w:line="440" w:lineRule="exact"/>
        <w:ind w:firstLine="480" w:firstLineChars="200"/>
        <w:rPr>
          <w:rFonts w:ascii="仿宋" w:hAnsi="仿宋" w:eastAsia="仿宋"/>
          <w:bCs/>
          <w:color w:val="auto"/>
          <w:kern w:val="21"/>
          <w:sz w:val="24"/>
          <w:highlight w:val="none"/>
        </w:rPr>
      </w:pPr>
      <w:r>
        <w:rPr>
          <w:rFonts w:hint="eastAsia" w:ascii="仿宋" w:hAnsi="仿宋" w:eastAsia="仿宋"/>
          <w:bCs/>
          <w:color w:val="auto"/>
          <w:kern w:val="21"/>
          <w:sz w:val="24"/>
          <w:highlight w:val="none"/>
        </w:rPr>
        <w:t>2．合同执行中涉及采购资金和采购内容修改或补充的，须经财政部门审批，并签书面补充协议报财政部门备案，方可作为主合同不可分割的一部分。</w:t>
      </w:r>
    </w:p>
    <w:p w14:paraId="0AA02B98">
      <w:pPr>
        <w:autoSpaceDE w:val="0"/>
        <w:snapToGrid w:val="0"/>
        <w:spacing w:line="440" w:lineRule="exact"/>
        <w:ind w:firstLine="480" w:firstLineChars="200"/>
        <w:rPr>
          <w:rFonts w:ascii="仿宋" w:hAnsi="仿宋" w:eastAsia="仿宋"/>
          <w:b/>
          <w:color w:val="auto"/>
          <w:kern w:val="21"/>
          <w:sz w:val="24"/>
          <w:highlight w:val="none"/>
        </w:rPr>
      </w:pPr>
      <w:r>
        <w:rPr>
          <w:rFonts w:hint="eastAsia" w:ascii="仿宋" w:hAnsi="仿宋" w:eastAsia="仿宋"/>
          <w:bCs/>
          <w:color w:val="auto"/>
          <w:kern w:val="21"/>
          <w:sz w:val="24"/>
          <w:highlight w:val="none"/>
        </w:rPr>
        <w:t>3．本合同未尽事宜，由双方协商，签订补充协议。</w:t>
      </w:r>
    </w:p>
    <w:p w14:paraId="7C454B34">
      <w:pPr>
        <w:autoSpaceDE w:val="0"/>
        <w:snapToGrid w:val="0"/>
        <w:spacing w:line="440" w:lineRule="exact"/>
        <w:ind w:firstLine="482" w:firstLineChars="200"/>
        <w:rPr>
          <w:rFonts w:ascii="仿宋" w:hAnsi="仿宋" w:eastAsia="仿宋"/>
          <w:b/>
          <w:color w:val="auto"/>
          <w:sz w:val="24"/>
          <w:highlight w:val="none"/>
        </w:rPr>
      </w:pPr>
      <w:r>
        <w:rPr>
          <w:rFonts w:hint="eastAsia" w:ascii="仿宋" w:hAnsi="仿宋" w:eastAsia="仿宋"/>
          <w:b/>
          <w:color w:val="auto"/>
          <w:sz w:val="24"/>
          <w:highlight w:val="none"/>
        </w:rPr>
        <w:t>第十二条  签订本合同依据</w:t>
      </w:r>
    </w:p>
    <w:p w14:paraId="1EDE1B10">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1.政府采购招标文件；</w:t>
      </w:r>
    </w:p>
    <w:p w14:paraId="5AEF8347">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2.乙方提供的投标文件；</w:t>
      </w:r>
    </w:p>
    <w:p w14:paraId="1EEF2532">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3.投标承诺书；</w:t>
      </w:r>
    </w:p>
    <w:p w14:paraId="3A859B5B">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4.中标（成交）通知书。</w:t>
      </w:r>
    </w:p>
    <w:p w14:paraId="051C306B">
      <w:pPr>
        <w:pStyle w:val="33"/>
        <w:rPr>
          <w:rFonts w:eastAsia="仿宋"/>
          <w:color w:val="auto"/>
          <w:highlight w:val="none"/>
        </w:rPr>
      </w:pPr>
      <w:r>
        <w:rPr>
          <w:rFonts w:hint="eastAsia" w:eastAsia="仿宋"/>
          <w:color w:val="auto"/>
          <w:sz w:val="24"/>
          <w:szCs w:val="24"/>
          <w:highlight w:val="none"/>
        </w:rPr>
        <w:t>上述依据，作为本合同的附件</w:t>
      </w:r>
      <w:r>
        <w:rPr>
          <w:rFonts w:hint="eastAsia" w:eastAsia="仿宋"/>
          <w:color w:val="auto"/>
          <w:highlight w:val="none"/>
        </w:rPr>
        <w:t>。</w:t>
      </w:r>
    </w:p>
    <w:p w14:paraId="2203E4AC">
      <w:pPr>
        <w:autoSpaceDE w:val="0"/>
        <w:snapToGrid w:val="0"/>
        <w:spacing w:line="440" w:lineRule="exact"/>
        <w:ind w:firstLine="482" w:firstLineChars="200"/>
        <w:rPr>
          <w:rFonts w:ascii="仿宋" w:hAnsi="仿宋" w:eastAsia="仿宋"/>
          <w:bCs/>
          <w:color w:val="auto"/>
          <w:sz w:val="24"/>
          <w:highlight w:val="none"/>
        </w:rPr>
      </w:pPr>
      <w:r>
        <w:rPr>
          <w:rFonts w:hint="eastAsia" w:ascii="仿宋" w:hAnsi="仿宋" w:eastAsia="仿宋"/>
          <w:b/>
          <w:color w:val="auto"/>
          <w:sz w:val="24"/>
          <w:highlight w:val="none"/>
        </w:rPr>
        <w:t xml:space="preserve">第十三条 </w:t>
      </w:r>
      <w:r>
        <w:rPr>
          <w:rFonts w:hint="eastAsia" w:ascii="仿宋" w:hAnsi="仿宋" w:eastAsia="仿宋"/>
          <w:bCs/>
          <w:color w:val="auto"/>
          <w:sz w:val="24"/>
          <w:highlight w:val="none"/>
        </w:rPr>
        <w:t>本合同一式七份，具有同等法律效力。政府采购监督管理部门、采购代理机构各一份，甲方三份，乙方二份。</w:t>
      </w:r>
    </w:p>
    <w:p w14:paraId="4FCDFABD">
      <w:pPr>
        <w:autoSpaceDE w:val="0"/>
        <w:snapToGrid w:val="0"/>
        <w:spacing w:line="440" w:lineRule="exact"/>
        <w:ind w:firstLine="480" w:firstLineChars="200"/>
        <w:rPr>
          <w:rFonts w:ascii="仿宋" w:hAnsi="仿宋" w:eastAsia="仿宋"/>
          <w:bCs/>
          <w:color w:val="auto"/>
          <w:sz w:val="24"/>
          <w:highlight w:val="none"/>
        </w:rPr>
      </w:pPr>
      <w:r>
        <w:rPr>
          <w:rFonts w:hint="eastAsia" w:ascii="仿宋" w:hAnsi="仿宋" w:eastAsia="仿宋"/>
          <w:bCs/>
          <w:color w:val="auto"/>
          <w:sz w:val="24"/>
          <w:highlight w:val="none"/>
        </w:rPr>
        <w:t>本合同经甲乙双方法定代表人或授权代表签字并加盖单位公章</w:t>
      </w:r>
      <w:r>
        <w:rPr>
          <w:rFonts w:hint="eastAsia" w:ascii="仿宋" w:hAnsi="仿宋" w:eastAsia="仿宋" w:cs="仿宋"/>
          <w:color w:val="auto"/>
          <w:sz w:val="24"/>
          <w:highlight w:val="none"/>
        </w:rPr>
        <w:t>之日起生效。</w:t>
      </w:r>
    </w:p>
    <w:p w14:paraId="789C3FF4">
      <w:pPr>
        <w:autoSpaceDE w:val="0"/>
        <w:snapToGrid w:val="0"/>
        <w:spacing w:line="440" w:lineRule="exact"/>
        <w:ind w:firstLine="480" w:firstLineChars="200"/>
        <w:rPr>
          <w:rFonts w:ascii="仿宋" w:hAnsi="仿宋" w:eastAsia="仿宋"/>
          <w:color w:val="auto"/>
          <w:sz w:val="24"/>
          <w:highlight w:val="none"/>
        </w:rPr>
      </w:pPr>
      <w:r>
        <w:rPr>
          <w:rFonts w:hint="eastAsia" w:ascii="仿宋" w:hAnsi="仿宋" w:eastAsia="仿宋"/>
          <w:color w:val="auto"/>
          <w:sz w:val="24"/>
          <w:highlight w:val="none"/>
        </w:rPr>
        <w:t xml:space="preserve"> </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0FA3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4437" w:type="dxa"/>
            <w:tcBorders>
              <w:top w:val="single" w:color="auto" w:sz="4" w:space="0"/>
              <w:left w:val="single" w:color="auto" w:sz="4" w:space="0"/>
              <w:bottom w:val="single" w:color="auto" w:sz="4" w:space="0"/>
              <w:right w:val="single" w:color="auto" w:sz="4" w:space="0"/>
            </w:tcBorders>
            <w:vAlign w:val="center"/>
          </w:tcPr>
          <w:p w14:paraId="5D83054D">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甲方（章）           </w:t>
            </w:r>
          </w:p>
          <w:p w14:paraId="13068971">
            <w:pPr>
              <w:snapToGrid w:val="0"/>
              <w:spacing w:line="360" w:lineRule="exact"/>
              <w:ind w:right="105" w:firstLine="1080" w:firstLineChars="450"/>
              <w:jc w:val="right"/>
              <w:rPr>
                <w:rFonts w:ascii="仿宋" w:hAnsi="仿宋" w:eastAsia="仿宋"/>
                <w:color w:val="auto"/>
                <w:sz w:val="24"/>
                <w:highlight w:val="none"/>
              </w:rPr>
            </w:pPr>
          </w:p>
        </w:tc>
        <w:tc>
          <w:tcPr>
            <w:tcW w:w="4688" w:type="dxa"/>
            <w:tcBorders>
              <w:top w:val="single" w:color="auto" w:sz="4" w:space="0"/>
              <w:left w:val="nil"/>
              <w:bottom w:val="single" w:color="auto" w:sz="4" w:space="0"/>
              <w:right w:val="single" w:color="auto" w:sz="4" w:space="0"/>
            </w:tcBorders>
            <w:vAlign w:val="center"/>
          </w:tcPr>
          <w:p w14:paraId="48214BA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 xml:space="preserve">乙方（章）              </w:t>
            </w:r>
          </w:p>
          <w:p w14:paraId="57001070">
            <w:pPr>
              <w:snapToGrid w:val="0"/>
              <w:spacing w:line="360" w:lineRule="exact"/>
              <w:jc w:val="right"/>
              <w:rPr>
                <w:rFonts w:ascii="仿宋" w:hAnsi="仿宋" w:eastAsia="仿宋"/>
                <w:color w:val="auto"/>
                <w:sz w:val="24"/>
                <w:highlight w:val="none"/>
              </w:rPr>
            </w:pPr>
          </w:p>
        </w:tc>
      </w:tr>
      <w:tr w14:paraId="5811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trPr>
        <w:tc>
          <w:tcPr>
            <w:tcW w:w="4437" w:type="dxa"/>
            <w:tcBorders>
              <w:top w:val="single" w:color="auto" w:sz="4" w:space="0"/>
              <w:left w:val="single" w:color="auto" w:sz="4" w:space="0"/>
              <w:bottom w:val="single" w:color="auto" w:sz="4" w:space="0"/>
              <w:right w:val="single" w:color="auto" w:sz="4" w:space="0"/>
            </w:tcBorders>
            <w:vAlign w:val="center"/>
          </w:tcPr>
          <w:p w14:paraId="7D4E7509">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c>
          <w:tcPr>
            <w:tcW w:w="4688" w:type="dxa"/>
            <w:tcBorders>
              <w:top w:val="single" w:color="auto" w:sz="4" w:space="0"/>
              <w:left w:val="nil"/>
              <w:bottom w:val="single" w:color="auto" w:sz="4" w:space="0"/>
              <w:right w:val="single" w:color="auto" w:sz="4" w:space="0"/>
            </w:tcBorders>
            <w:vAlign w:val="center"/>
          </w:tcPr>
          <w:p w14:paraId="32ECB655">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单位地址：</w:t>
            </w:r>
          </w:p>
        </w:tc>
      </w:tr>
      <w:tr w14:paraId="2087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4437" w:type="dxa"/>
            <w:tcBorders>
              <w:top w:val="single" w:color="auto" w:sz="4" w:space="0"/>
              <w:left w:val="single" w:color="auto" w:sz="4" w:space="0"/>
              <w:bottom w:val="single" w:color="auto" w:sz="4" w:space="0"/>
              <w:right w:val="single" w:color="auto" w:sz="4" w:space="0"/>
            </w:tcBorders>
            <w:vAlign w:val="center"/>
          </w:tcPr>
          <w:p w14:paraId="18C342EC">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c>
          <w:tcPr>
            <w:tcW w:w="4688" w:type="dxa"/>
            <w:tcBorders>
              <w:top w:val="single" w:color="auto" w:sz="4" w:space="0"/>
              <w:left w:val="nil"/>
              <w:bottom w:val="single" w:color="auto" w:sz="4" w:space="0"/>
              <w:right w:val="single" w:color="auto" w:sz="4" w:space="0"/>
            </w:tcBorders>
            <w:vAlign w:val="center"/>
          </w:tcPr>
          <w:p w14:paraId="59B4A7F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法定代表人：</w:t>
            </w:r>
          </w:p>
        </w:tc>
      </w:tr>
      <w:tr w14:paraId="61C1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4437" w:type="dxa"/>
            <w:tcBorders>
              <w:top w:val="single" w:color="auto" w:sz="4" w:space="0"/>
              <w:left w:val="single" w:color="auto" w:sz="4" w:space="0"/>
              <w:bottom w:val="single" w:color="auto" w:sz="4" w:space="0"/>
              <w:right w:val="single" w:color="auto" w:sz="4" w:space="0"/>
            </w:tcBorders>
            <w:vAlign w:val="center"/>
          </w:tcPr>
          <w:p w14:paraId="61136F28">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c>
          <w:tcPr>
            <w:tcW w:w="4688" w:type="dxa"/>
            <w:tcBorders>
              <w:top w:val="single" w:color="auto" w:sz="4" w:space="0"/>
              <w:left w:val="nil"/>
              <w:bottom w:val="single" w:color="auto" w:sz="4" w:space="0"/>
              <w:right w:val="single" w:color="auto" w:sz="4" w:space="0"/>
            </w:tcBorders>
            <w:vAlign w:val="center"/>
          </w:tcPr>
          <w:p w14:paraId="7DC67E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委托代理人</w:t>
            </w:r>
          </w:p>
        </w:tc>
      </w:tr>
      <w:tr w14:paraId="6AA4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4437" w:type="dxa"/>
            <w:tcBorders>
              <w:top w:val="single" w:color="auto" w:sz="4" w:space="0"/>
              <w:left w:val="single" w:color="auto" w:sz="4" w:space="0"/>
              <w:bottom w:val="single" w:color="auto" w:sz="4" w:space="0"/>
              <w:right w:val="single" w:color="auto" w:sz="4" w:space="0"/>
            </w:tcBorders>
            <w:vAlign w:val="center"/>
          </w:tcPr>
          <w:p w14:paraId="20BA816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c>
          <w:tcPr>
            <w:tcW w:w="4688" w:type="dxa"/>
            <w:tcBorders>
              <w:top w:val="single" w:color="auto" w:sz="4" w:space="0"/>
              <w:left w:val="nil"/>
              <w:bottom w:val="single" w:color="auto" w:sz="4" w:space="0"/>
              <w:right w:val="single" w:color="auto" w:sz="4" w:space="0"/>
            </w:tcBorders>
            <w:vAlign w:val="center"/>
          </w:tcPr>
          <w:p w14:paraId="2892A212">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电话：</w:t>
            </w:r>
          </w:p>
        </w:tc>
      </w:tr>
      <w:tr w14:paraId="601F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164F60E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c>
          <w:tcPr>
            <w:tcW w:w="4688" w:type="dxa"/>
            <w:tcBorders>
              <w:top w:val="single" w:color="auto" w:sz="4" w:space="0"/>
              <w:left w:val="nil"/>
              <w:bottom w:val="single" w:color="auto" w:sz="4" w:space="0"/>
              <w:right w:val="single" w:color="auto" w:sz="4" w:space="0"/>
            </w:tcBorders>
            <w:vAlign w:val="center"/>
          </w:tcPr>
          <w:p w14:paraId="7F3DFD91">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电子邮箱：</w:t>
            </w:r>
          </w:p>
        </w:tc>
      </w:tr>
      <w:tr w14:paraId="417D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4437" w:type="dxa"/>
            <w:tcBorders>
              <w:top w:val="single" w:color="auto" w:sz="4" w:space="0"/>
              <w:left w:val="single" w:color="auto" w:sz="4" w:space="0"/>
              <w:bottom w:val="single" w:color="auto" w:sz="4" w:space="0"/>
              <w:right w:val="single" w:color="auto" w:sz="4" w:space="0"/>
            </w:tcBorders>
            <w:vAlign w:val="center"/>
          </w:tcPr>
          <w:p w14:paraId="47646B8F">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c>
          <w:tcPr>
            <w:tcW w:w="4688" w:type="dxa"/>
            <w:tcBorders>
              <w:top w:val="single" w:color="auto" w:sz="4" w:space="0"/>
              <w:left w:val="nil"/>
              <w:bottom w:val="single" w:color="auto" w:sz="4" w:space="0"/>
              <w:right w:val="single" w:color="auto" w:sz="4" w:space="0"/>
            </w:tcBorders>
            <w:vAlign w:val="center"/>
          </w:tcPr>
          <w:p w14:paraId="2C26459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开户银行：</w:t>
            </w:r>
          </w:p>
        </w:tc>
      </w:tr>
      <w:tr w14:paraId="13E04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4437" w:type="dxa"/>
            <w:tcBorders>
              <w:top w:val="single" w:color="auto" w:sz="4" w:space="0"/>
              <w:left w:val="single" w:color="auto" w:sz="4" w:space="0"/>
              <w:bottom w:val="single" w:color="auto" w:sz="4" w:space="0"/>
              <w:right w:val="single" w:color="auto" w:sz="4" w:space="0"/>
            </w:tcBorders>
            <w:vAlign w:val="center"/>
          </w:tcPr>
          <w:p w14:paraId="769BC7C4">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c>
          <w:tcPr>
            <w:tcW w:w="4688" w:type="dxa"/>
            <w:tcBorders>
              <w:top w:val="single" w:color="auto" w:sz="4" w:space="0"/>
              <w:left w:val="nil"/>
              <w:bottom w:val="single" w:color="auto" w:sz="4" w:space="0"/>
              <w:right w:val="single" w:color="auto" w:sz="4" w:space="0"/>
            </w:tcBorders>
            <w:vAlign w:val="center"/>
          </w:tcPr>
          <w:p w14:paraId="6DCB226B">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账号：</w:t>
            </w:r>
          </w:p>
        </w:tc>
      </w:tr>
      <w:tr w14:paraId="0989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4437" w:type="dxa"/>
            <w:tcBorders>
              <w:top w:val="single" w:color="auto" w:sz="4" w:space="0"/>
              <w:left w:val="single" w:color="auto" w:sz="4" w:space="0"/>
              <w:bottom w:val="single" w:color="auto" w:sz="4" w:space="0"/>
              <w:right w:val="single" w:color="auto" w:sz="4" w:space="0"/>
            </w:tcBorders>
            <w:vAlign w:val="center"/>
          </w:tcPr>
          <w:p w14:paraId="556CE2DA">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c>
          <w:tcPr>
            <w:tcW w:w="4688" w:type="dxa"/>
            <w:tcBorders>
              <w:top w:val="single" w:color="auto" w:sz="4" w:space="0"/>
              <w:left w:val="nil"/>
              <w:bottom w:val="single" w:color="auto" w:sz="4" w:space="0"/>
              <w:right w:val="single" w:color="auto" w:sz="4" w:space="0"/>
            </w:tcBorders>
            <w:vAlign w:val="center"/>
          </w:tcPr>
          <w:p w14:paraId="38845EB6">
            <w:pPr>
              <w:snapToGrid w:val="0"/>
              <w:spacing w:line="360" w:lineRule="exact"/>
              <w:rPr>
                <w:rFonts w:ascii="仿宋" w:hAnsi="仿宋" w:eastAsia="仿宋"/>
                <w:color w:val="auto"/>
                <w:sz w:val="24"/>
                <w:highlight w:val="none"/>
              </w:rPr>
            </w:pPr>
            <w:r>
              <w:rPr>
                <w:rFonts w:hint="eastAsia" w:ascii="仿宋" w:hAnsi="仿宋" w:eastAsia="仿宋"/>
                <w:color w:val="auto"/>
                <w:sz w:val="24"/>
                <w:highlight w:val="none"/>
              </w:rPr>
              <w:t>邮政编码：</w:t>
            </w:r>
          </w:p>
        </w:tc>
      </w:tr>
      <w:tr w14:paraId="7212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125" w:type="dxa"/>
            <w:gridSpan w:val="2"/>
            <w:tcBorders>
              <w:top w:val="single" w:color="auto" w:sz="4" w:space="0"/>
              <w:left w:val="single" w:color="auto" w:sz="4" w:space="0"/>
              <w:bottom w:val="single" w:color="auto" w:sz="4" w:space="0"/>
              <w:right w:val="single" w:color="auto" w:sz="4" w:space="0"/>
            </w:tcBorders>
          </w:tcPr>
          <w:p w14:paraId="3D7133BE">
            <w:pPr>
              <w:snapToGrid w:val="0"/>
              <w:spacing w:line="360" w:lineRule="exact"/>
              <w:ind w:firstLine="720" w:firstLineChars="300"/>
              <w:jc w:val="right"/>
              <w:rPr>
                <w:rFonts w:ascii="仿宋" w:hAnsi="仿宋" w:eastAsia="仿宋"/>
                <w:color w:val="auto"/>
                <w:sz w:val="24"/>
                <w:highlight w:val="none"/>
              </w:rPr>
            </w:pPr>
          </w:p>
          <w:p w14:paraId="7D1EA1EB">
            <w:pPr>
              <w:snapToGrid w:val="0"/>
              <w:spacing w:line="360" w:lineRule="exact"/>
              <w:ind w:firstLine="720" w:firstLineChars="300"/>
              <w:jc w:val="right"/>
              <w:rPr>
                <w:rFonts w:ascii="仿宋" w:hAnsi="仿宋" w:eastAsia="仿宋"/>
                <w:color w:val="auto"/>
                <w:sz w:val="24"/>
                <w:highlight w:val="none"/>
              </w:rPr>
            </w:pPr>
            <w:r>
              <w:rPr>
                <w:rFonts w:hint="eastAsia" w:ascii="仿宋" w:hAnsi="仿宋" w:eastAsia="仿宋"/>
                <w:color w:val="auto"/>
                <w:sz w:val="24"/>
                <w:highlight w:val="none"/>
              </w:rPr>
              <w:t xml:space="preserve">  签订日期：    年    月    日</w:t>
            </w:r>
          </w:p>
        </w:tc>
      </w:tr>
    </w:tbl>
    <w:p w14:paraId="5DF63C9D">
      <w:pPr>
        <w:spacing w:before="4"/>
        <w:rPr>
          <w:rFonts w:ascii="宋体" w:hAnsi="宋体" w:cs="宋体"/>
          <w:color w:val="auto"/>
          <w:sz w:val="6"/>
          <w:szCs w:val="6"/>
          <w:highlight w:val="none"/>
        </w:rPr>
      </w:pPr>
    </w:p>
    <w:sectPr>
      <w:headerReference r:id="rId8" w:type="default"/>
      <w:footerReference r:id="rId9" w:type="default"/>
      <w:footerReference r:id="rId10" w:type="even"/>
      <w:pgSz w:w="11906" w:h="16838"/>
      <w:pgMar w:top="1440" w:right="1080" w:bottom="1440" w:left="1080" w:header="0" w:footer="567"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E18AF39-5966-4FFC-8F7B-ED9D928809C0}"/>
  </w:font>
  <w:font w:name="黑体">
    <w:panose1 w:val="02010609060101010101"/>
    <w:charset w:val="86"/>
    <w:family w:val="auto"/>
    <w:pitch w:val="default"/>
    <w:sig w:usb0="800002BF" w:usb1="38CF7CFA" w:usb2="00000016" w:usb3="00000000" w:csb0="00040001" w:csb1="00000000"/>
    <w:embedRegular r:id="rId2" w:fontKey="{911EE3C6-5C58-4D1F-B548-083DEEBB57AF}"/>
  </w:font>
  <w:font w:name="Courier New">
    <w:panose1 w:val="02070309020205020404"/>
    <w:charset w:val="01"/>
    <w:family w:val="modern"/>
    <w:pitch w:val="default"/>
    <w:sig w:usb0="E0002EFF" w:usb1="C0007843" w:usb2="00000009" w:usb3="00000000" w:csb0="400001FF" w:csb1="FFFF0000"/>
    <w:embedRegular r:id="rId3" w:fontKey="{D73C66B0-AB0E-4F1A-B9DB-4A47714103C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34BA0F1F-0157-444F-A775-AF7EEB0D9EC0}"/>
  </w:font>
  <w:font w:name="Cambria">
    <w:panose1 w:val="02040503050406030204"/>
    <w:charset w:val="00"/>
    <w:family w:val="roman"/>
    <w:pitch w:val="default"/>
    <w:sig w:usb0="E00006FF" w:usb1="420024FF" w:usb2="02000000" w:usb3="00000000" w:csb0="2000019F" w:csb1="00000000"/>
    <w:embedRegular r:id="rId5" w:fontKey="{0E24C92A-1F16-47A4-92D6-000BE11A000A}"/>
  </w:font>
  <w:font w:name="仿宋_GB2312">
    <w:panose1 w:val="02010609030101010101"/>
    <w:charset w:val="86"/>
    <w:family w:val="modern"/>
    <w:pitch w:val="default"/>
    <w:sig w:usb0="00000001" w:usb1="080E0000" w:usb2="00000000" w:usb3="00000000" w:csb0="00040000" w:csb1="00000000"/>
    <w:embedRegular r:id="rId6" w:fontKey="{E9417F02-A35D-4026-BEE6-72D5BBEF2765}"/>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宋体;SimSun">
    <w:altName w:val="宋体"/>
    <w:panose1 w:val="00000000000000000000"/>
    <w:charset w:val="86"/>
    <w:family w:val="roman"/>
    <w:pitch w:val="default"/>
    <w:sig w:usb0="00000000" w:usb1="00000000" w:usb2="00000010" w:usb3="00000000" w:csb0="00040000" w:csb1="00000000"/>
    <w:embedRegular r:id="rId7" w:fontKey="{A4C15F8A-CBBB-4C39-AAA7-2B6F8356A1A0}"/>
  </w:font>
  <w:font w:name="Trebuchet MS">
    <w:panose1 w:val="020B0603020202020204"/>
    <w:charset w:val="00"/>
    <w:family w:val="swiss"/>
    <w:pitch w:val="default"/>
    <w:sig w:usb0="000006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8" w:fontKey="{BD4A608F-3228-4F48-A2B8-98A2EEAA7062}"/>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773A">
    <w:pPr>
      <w:pStyle w:val="3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99FD6">
    <w:pPr>
      <w:pStyle w:val="33"/>
      <w:jc w:val="center"/>
    </w:pPr>
    <w:r>
      <w:fldChar w:fldCharType="begin"/>
    </w:r>
    <w:r>
      <w:instrText xml:space="preserve">PAGE   \* MERGEFORMAT</w:instrText>
    </w:r>
    <w:r>
      <w:fldChar w:fldCharType="separate"/>
    </w:r>
    <w:r>
      <w:rPr>
        <w:lang w:val="zh-CN"/>
      </w:rPr>
      <w:t>0</w:t>
    </w:r>
    <w:r>
      <w:fldChar w:fldCharType="end"/>
    </w:r>
  </w:p>
  <w:p w14:paraId="2C371A42">
    <w:pPr>
      <w:pStyle w:val="3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D0093">
    <w:pPr>
      <w:pStyle w:val="3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74B45">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B674B45">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4B4B">
    <w:pPr>
      <w:pStyle w:val="33"/>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FEF88E">
                          <w:pPr>
                            <w:pStyle w:val="33"/>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6FEF88E">
                    <w:pPr>
                      <w:pStyle w:val="33"/>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6B1FE">
    <w:pPr>
      <w:pStyle w:val="33"/>
      <w:framePr w:wrap="around" w:vAnchor="text" w:hAnchor="margin" w:xAlign="center" w:y="1"/>
      <w:rPr>
        <w:rStyle w:val="58"/>
      </w:rPr>
    </w:pPr>
    <w:r>
      <w:fldChar w:fldCharType="begin"/>
    </w:r>
    <w:r>
      <w:rPr>
        <w:rStyle w:val="58"/>
      </w:rPr>
      <w:instrText xml:space="preserve">PAGE  </w:instrText>
    </w:r>
    <w:r>
      <w:fldChar w:fldCharType="end"/>
    </w:r>
  </w:p>
  <w:p w14:paraId="1C1E6B98">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2A1E8">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200"/>
        </w:tabs>
        <w:ind w:left="1200" w:hanging="360"/>
      </w:pPr>
    </w:lvl>
  </w:abstractNum>
  <w:abstractNum w:abstractNumId="1">
    <w:nsid w:val="076C7C35"/>
    <w:multiLevelType w:val="multilevel"/>
    <w:tmpl w:val="076C7C35"/>
    <w:lvl w:ilvl="0" w:tentative="0">
      <w:start w:val="1"/>
      <w:numFmt w:val="decimal"/>
      <w:pStyle w:val="157"/>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4F886337"/>
    <w:multiLevelType w:val="multilevel"/>
    <w:tmpl w:val="4F886337"/>
    <w:lvl w:ilvl="0" w:tentative="0">
      <w:start w:val="1"/>
      <w:numFmt w:val="decimal"/>
      <w:pStyle w:val="110"/>
      <w:lvlText w:val="（%1）"/>
      <w:lvlJc w:val="left"/>
      <w:pPr>
        <w:ind w:left="1275" w:hanging="750"/>
      </w:pPr>
      <w:rPr>
        <w:rFonts w:hint="default"/>
        <w:lang w:val="en-US"/>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4">
    <w:nsid w:val="4FF1187F"/>
    <w:multiLevelType w:val="multilevel"/>
    <w:tmpl w:val="4FF1187F"/>
    <w:lvl w:ilvl="0" w:tentative="0">
      <w:start w:val="1"/>
      <w:numFmt w:val="decimal"/>
      <w:pStyle w:val="105"/>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56E83EA1"/>
    <w:multiLevelType w:val="multilevel"/>
    <w:tmpl w:val="56E83EA1"/>
    <w:lvl w:ilvl="0" w:tentative="0">
      <w:start w:val="1"/>
      <w:numFmt w:val="decimal"/>
      <w:pStyle w:val="163"/>
      <w:lvlText w:val="%1."/>
      <w:lvlJc w:val="left"/>
      <w:pPr>
        <w:tabs>
          <w:tab w:val="left" w:pos="420"/>
        </w:tabs>
        <w:ind w:left="420" w:hanging="420"/>
      </w:pPr>
      <w:rPr>
        <w:rFonts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794EF457"/>
    <w:multiLevelType w:val="singleLevel"/>
    <w:tmpl w:val="794EF457"/>
    <w:lvl w:ilvl="0" w:tentative="0">
      <w:start w:val="20"/>
      <w:numFmt w:val="decimal"/>
      <w:suff w:val="nothing"/>
      <w:lvlText w:val="%1、"/>
      <w:lvlJc w:val="left"/>
    </w:lvl>
  </w:abstractNum>
  <w:abstractNum w:abstractNumId="7">
    <w:nsid w:val="7A1D07BB"/>
    <w:multiLevelType w:val="singleLevel"/>
    <w:tmpl w:val="7A1D07BB"/>
    <w:lvl w:ilvl="0" w:tentative="0">
      <w:start w:val="6"/>
      <w:numFmt w:val="chineseCounting"/>
      <w:suff w:val="space"/>
      <w:lvlText w:val="第%1章"/>
      <w:lvlJc w:val="left"/>
      <w:rPr>
        <w:rFonts w:hint="eastAsia"/>
      </w:rPr>
    </w:lvl>
  </w:abstractNum>
  <w:num w:numId="1">
    <w:abstractNumId w:val="2"/>
  </w:num>
  <w:num w:numId="2">
    <w:abstractNumId w:val="0"/>
  </w:num>
  <w:num w:numId="3">
    <w:abstractNumId w:val="4"/>
  </w:num>
  <w:num w:numId="4">
    <w:abstractNumId w:val="3"/>
  </w:num>
  <w:num w:numId="5">
    <w:abstractNumId w:val="1"/>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WRiODk3MDRmMGJiMmE0MTBkZDNlZmM1N2M5MmIifQ=="/>
  </w:docVars>
  <w:rsids>
    <w:rsidRoot w:val="00F34B14"/>
    <w:rsid w:val="00000672"/>
    <w:rsid w:val="00001A25"/>
    <w:rsid w:val="000021E2"/>
    <w:rsid w:val="000025AB"/>
    <w:rsid w:val="000029ED"/>
    <w:rsid w:val="00002AF7"/>
    <w:rsid w:val="00002F24"/>
    <w:rsid w:val="000039C7"/>
    <w:rsid w:val="000039E6"/>
    <w:rsid w:val="00003FC2"/>
    <w:rsid w:val="0000464D"/>
    <w:rsid w:val="00004B0A"/>
    <w:rsid w:val="0000581E"/>
    <w:rsid w:val="00005897"/>
    <w:rsid w:val="000064BB"/>
    <w:rsid w:val="000065E3"/>
    <w:rsid w:val="00007E1F"/>
    <w:rsid w:val="00010909"/>
    <w:rsid w:val="00010996"/>
    <w:rsid w:val="00010D23"/>
    <w:rsid w:val="00010D86"/>
    <w:rsid w:val="0001172C"/>
    <w:rsid w:val="00012854"/>
    <w:rsid w:val="00012889"/>
    <w:rsid w:val="000132E8"/>
    <w:rsid w:val="00013580"/>
    <w:rsid w:val="0001394B"/>
    <w:rsid w:val="00014551"/>
    <w:rsid w:val="00014E30"/>
    <w:rsid w:val="00015487"/>
    <w:rsid w:val="00016945"/>
    <w:rsid w:val="00020135"/>
    <w:rsid w:val="00020624"/>
    <w:rsid w:val="00020A31"/>
    <w:rsid w:val="0002190F"/>
    <w:rsid w:val="0002229B"/>
    <w:rsid w:val="000222F3"/>
    <w:rsid w:val="00022792"/>
    <w:rsid w:val="00023AF1"/>
    <w:rsid w:val="00024027"/>
    <w:rsid w:val="000251A8"/>
    <w:rsid w:val="0002585A"/>
    <w:rsid w:val="00025E36"/>
    <w:rsid w:val="00026325"/>
    <w:rsid w:val="0002664E"/>
    <w:rsid w:val="000268D9"/>
    <w:rsid w:val="000269ED"/>
    <w:rsid w:val="00026C29"/>
    <w:rsid w:val="000273E9"/>
    <w:rsid w:val="00027DE1"/>
    <w:rsid w:val="000307E9"/>
    <w:rsid w:val="00030A22"/>
    <w:rsid w:val="000314D5"/>
    <w:rsid w:val="0003164C"/>
    <w:rsid w:val="00031B5E"/>
    <w:rsid w:val="00032114"/>
    <w:rsid w:val="00032BD0"/>
    <w:rsid w:val="000337C6"/>
    <w:rsid w:val="00033A5B"/>
    <w:rsid w:val="000371E3"/>
    <w:rsid w:val="0003793F"/>
    <w:rsid w:val="00037FAC"/>
    <w:rsid w:val="000403BF"/>
    <w:rsid w:val="000406A6"/>
    <w:rsid w:val="00041600"/>
    <w:rsid w:val="00042CB8"/>
    <w:rsid w:val="00042E44"/>
    <w:rsid w:val="000430D6"/>
    <w:rsid w:val="00043667"/>
    <w:rsid w:val="00044073"/>
    <w:rsid w:val="0004440C"/>
    <w:rsid w:val="0004460C"/>
    <w:rsid w:val="00044C85"/>
    <w:rsid w:val="00044F9A"/>
    <w:rsid w:val="00045169"/>
    <w:rsid w:val="000456DE"/>
    <w:rsid w:val="0004587D"/>
    <w:rsid w:val="000467A4"/>
    <w:rsid w:val="000471EC"/>
    <w:rsid w:val="000502B7"/>
    <w:rsid w:val="000509D9"/>
    <w:rsid w:val="0005234F"/>
    <w:rsid w:val="00052869"/>
    <w:rsid w:val="00052928"/>
    <w:rsid w:val="00060E46"/>
    <w:rsid w:val="0006129C"/>
    <w:rsid w:val="00062A8B"/>
    <w:rsid w:val="000634A3"/>
    <w:rsid w:val="00063D44"/>
    <w:rsid w:val="000642D9"/>
    <w:rsid w:val="00064669"/>
    <w:rsid w:val="00064847"/>
    <w:rsid w:val="0006518A"/>
    <w:rsid w:val="00065B14"/>
    <w:rsid w:val="00065B94"/>
    <w:rsid w:val="00065ED2"/>
    <w:rsid w:val="000669B4"/>
    <w:rsid w:val="0006729F"/>
    <w:rsid w:val="000673E2"/>
    <w:rsid w:val="00067816"/>
    <w:rsid w:val="000711E4"/>
    <w:rsid w:val="00072DA9"/>
    <w:rsid w:val="00072E17"/>
    <w:rsid w:val="0007455A"/>
    <w:rsid w:val="00074594"/>
    <w:rsid w:val="00075188"/>
    <w:rsid w:val="000814DC"/>
    <w:rsid w:val="00081680"/>
    <w:rsid w:val="000834C7"/>
    <w:rsid w:val="000835E9"/>
    <w:rsid w:val="00084B40"/>
    <w:rsid w:val="000857FD"/>
    <w:rsid w:val="00085EC4"/>
    <w:rsid w:val="00086D16"/>
    <w:rsid w:val="00087A9F"/>
    <w:rsid w:val="00090C1F"/>
    <w:rsid w:val="00091AD7"/>
    <w:rsid w:val="00091DCC"/>
    <w:rsid w:val="00091E53"/>
    <w:rsid w:val="000923BB"/>
    <w:rsid w:val="00092A1C"/>
    <w:rsid w:val="0009402B"/>
    <w:rsid w:val="0009409F"/>
    <w:rsid w:val="00094536"/>
    <w:rsid w:val="0009461E"/>
    <w:rsid w:val="0009462C"/>
    <w:rsid w:val="00094C3A"/>
    <w:rsid w:val="00094C6D"/>
    <w:rsid w:val="00094DB1"/>
    <w:rsid w:val="000958A8"/>
    <w:rsid w:val="00095ADE"/>
    <w:rsid w:val="00095B8D"/>
    <w:rsid w:val="000960EA"/>
    <w:rsid w:val="000973B5"/>
    <w:rsid w:val="00097775"/>
    <w:rsid w:val="000978C5"/>
    <w:rsid w:val="000A0B9A"/>
    <w:rsid w:val="000A1729"/>
    <w:rsid w:val="000A1F1D"/>
    <w:rsid w:val="000A364D"/>
    <w:rsid w:val="000A573C"/>
    <w:rsid w:val="000A57B8"/>
    <w:rsid w:val="000A5B6A"/>
    <w:rsid w:val="000A6496"/>
    <w:rsid w:val="000A7A12"/>
    <w:rsid w:val="000B07F0"/>
    <w:rsid w:val="000B09AE"/>
    <w:rsid w:val="000B1D50"/>
    <w:rsid w:val="000B1EDF"/>
    <w:rsid w:val="000B241E"/>
    <w:rsid w:val="000B2619"/>
    <w:rsid w:val="000B2EF8"/>
    <w:rsid w:val="000B2FC4"/>
    <w:rsid w:val="000B3B98"/>
    <w:rsid w:val="000B4A1E"/>
    <w:rsid w:val="000B6713"/>
    <w:rsid w:val="000C0D3D"/>
    <w:rsid w:val="000C255E"/>
    <w:rsid w:val="000C3771"/>
    <w:rsid w:val="000C3AF0"/>
    <w:rsid w:val="000C56E0"/>
    <w:rsid w:val="000C795B"/>
    <w:rsid w:val="000C7B1D"/>
    <w:rsid w:val="000D0515"/>
    <w:rsid w:val="000D06C4"/>
    <w:rsid w:val="000D0A89"/>
    <w:rsid w:val="000D2626"/>
    <w:rsid w:val="000D28C8"/>
    <w:rsid w:val="000D2DC6"/>
    <w:rsid w:val="000D3B3B"/>
    <w:rsid w:val="000D48EE"/>
    <w:rsid w:val="000D73DD"/>
    <w:rsid w:val="000E03CB"/>
    <w:rsid w:val="000E1DC5"/>
    <w:rsid w:val="000E3F14"/>
    <w:rsid w:val="000E46A6"/>
    <w:rsid w:val="000E4E23"/>
    <w:rsid w:val="000E5060"/>
    <w:rsid w:val="000E5618"/>
    <w:rsid w:val="000E56FD"/>
    <w:rsid w:val="000E6353"/>
    <w:rsid w:val="000E747D"/>
    <w:rsid w:val="000F1C44"/>
    <w:rsid w:val="000F2937"/>
    <w:rsid w:val="000F3733"/>
    <w:rsid w:val="000F578B"/>
    <w:rsid w:val="000F5C82"/>
    <w:rsid w:val="000F5D00"/>
    <w:rsid w:val="000F7A4C"/>
    <w:rsid w:val="00100056"/>
    <w:rsid w:val="001004FC"/>
    <w:rsid w:val="00100AC2"/>
    <w:rsid w:val="001020ED"/>
    <w:rsid w:val="001021D1"/>
    <w:rsid w:val="00103918"/>
    <w:rsid w:val="00103E66"/>
    <w:rsid w:val="00103E83"/>
    <w:rsid w:val="00104086"/>
    <w:rsid w:val="00104897"/>
    <w:rsid w:val="00104EDE"/>
    <w:rsid w:val="00104F7F"/>
    <w:rsid w:val="001052E2"/>
    <w:rsid w:val="00105636"/>
    <w:rsid w:val="00105CC1"/>
    <w:rsid w:val="001066DD"/>
    <w:rsid w:val="00106BEE"/>
    <w:rsid w:val="00107E47"/>
    <w:rsid w:val="00110236"/>
    <w:rsid w:val="00111624"/>
    <w:rsid w:val="001118F4"/>
    <w:rsid w:val="001136FE"/>
    <w:rsid w:val="001138C9"/>
    <w:rsid w:val="00116071"/>
    <w:rsid w:val="0011608D"/>
    <w:rsid w:val="001168F0"/>
    <w:rsid w:val="00117F08"/>
    <w:rsid w:val="00120319"/>
    <w:rsid w:val="001218D2"/>
    <w:rsid w:val="0012195F"/>
    <w:rsid w:val="00122064"/>
    <w:rsid w:val="00122941"/>
    <w:rsid w:val="0012356D"/>
    <w:rsid w:val="00123A5D"/>
    <w:rsid w:val="00123EF5"/>
    <w:rsid w:val="00124CDC"/>
    <w:rsid w:val="00124D71"/>
    <w:rsid w:val="0012590A"/>
    <w:rsid w:val="00125E07"/>
    <w:rsid w:val="00126277"/>
    <w:rsid w:val="001263B8"/>
    <w:rsid w:val="0012736F"/>
    <w:rsid w:val="00130570"/>
    <w:rsid w:val="00130D92"/>
    <w:rsid w:val="001312F7"/>
    <w:rsid w:val="00131A35"/>
    <w:rsid w:val="00131A49"/>
    <w:rsid w:val="00131C2D"/>
    <w:rsid w:val="00131FB6"/>
    <w:rsid w:val="001322C2"/>
    <w:rsid w:val="00132B07"/>
    <w:rsid w:val="001336B9"/>
    <w:rsid w:val="001337A4"/>
    <w:rsid w:val="00134764"/>
    <w:rsid w:val="0013483B"/>
    <w:rsid w:val="00136731"/>
    <w:rsid w:val="00136E8F"/>
    <w:rsid w:val="001374E1"/>
    <w:rsid w:val="001377A5"/>
    <w:rsid w:val="00140917"/>
    <w:rsid w:val="0014136D"/>
    <w:rsid w:val="00141C9C"/>
    <w:rsid w:val="00141FF6"/>
    <w:rsid w:val="00142122"/>
    <w:rsid w:val="00143793"/>
    <w:rsid w:val="0014417B"/>
    <w:rsid w:val="0014459D"/>
    <w:rsid w:val="001448D5"/>
    <w:rsid w:val="00144A0D"/>
    <w:rsid w:val="00146134"/>
    <w:rsid w:val="001462F5"/>
    <w:rsid w:val="00147134"/>
    <w:rsid w:val="00147802"/>
    <w:rsid w:val="0015097C"/>
    <w:rsid w:val="00151627"/>
    <w:rsid w:val="00151CD1"/>
    <w:rsid w:val="00151F4F"/>
    <w:rsid w:val="0015202A"/>
    <w:rsid w:val="00152398"/>
    <w:rsid w:val="0015326F"/>
    <w:rsid w:val="00153750"/>
    <w:rsid w:val="0015413C"/>
    <w:rsid w:val="001550C9"/>
    <w:rsid w:val="00155F1A"/>
    <w:rsid w:val="001561F6"/>
    <w:rsid w:val="0015688F"/>
    <w:rsid w:val="00157119"/>
    <w:rsid w:val="001602B7"/>
    <w:rsid w:val="001609C5"/>
    <w:rsid w:val="00161563"/>
    <w:rsid w:val="00162D4F"/>
    <w:rsid w:val="00164380"/>
    <w:rsid w:val="00164EC0"/>
    <w:rsid w:val="00164F9D"/>
    <w:rsid w:val="001661A3"/>
    <w:rsid w:val="001665CF"/>
    <w:rsid w:val="0016688B"/>
    <w:rsid w:val="00167132"/>
    <w:rsid w:val="001679DC"/>
    <w:rsid w:val="0017027A"/>
    <w:rsid w:val="00170485"/>
    <w:rsid w:val="00170C31"/>
    <w:rsid w:val="00171374"/>
    <w:rsid w:val="0017223D"/>
    <w:rsid w:val="00173C68"/>
    <w:rsid w:val="00174A55"/>
    <w:rsid w:val="00174C49"/>
    <w:rsid w:val="00175BA6"/>
    <w:rsid w:val="001778C5"/>
    <w:rsid w:val="00177B28"/>
    <w:rsid w:val="00180209"/>
    <w:rsid w:val="0018039E"/>
    <w:rsid w:val="001811E3"/>
    <w:rsid w:val="001811F8"/>
    <w:rsid w:val="0018141D"/>
    <w:rsid w:val="00181891"/>
    <w:rsid w:val="00181CA4"/>
    <w:rsid w:val="00183B06"/>
    <w:rsid w:val="00183C08"/>
    <w:rsid w:val="00184242"/>
    <w:rsid w:val="00184316"/>
    <w:rsid w:val="0018466C"/>
    <w:rsid w:val="00185617"/>
    <w:rsid w:val="001856F9"/>
    <w:rsid w:val="00185B80"/>
    <w:rsid w:val="0018691C"/>
    <w:rsid w:val="001869B8"/>
    <w:rsid w:val="00186E62"/>
    <w:rsid w:val="0018773B"/>
    <w:rsid w:val="0019181F"/>
    <w:rsid w:val="0019200B"/>
    <w:rsid w:val="0019231C"/>
    <w:rsid w:val="00192E96"/>
    <w:rsid w:val="00192EE0"/>
    <w:rsid w:val="0019452D"/>
    <w:rsid w:val="001947A5"/>
    <w:rsid w:val="00196035"/>
    <w:rsid w:val="001A02B3"/>
    <w:rsid w:val="001A037B"/>
    <w:rsid w:val="001A26CD"/>
    <w:rsid w:val="001A2A26"/>
    <w:rsid w:val="001A3162"/>
    <w:rsid w:val="001A33E6"/>
    <w:rsid w:val="001A3EDE"/>
    <w:rsid w:val="001A4A03"/>
    <w:rsid w:val="001A4DBA"/>
    <w:rsid w:val="001A55CA"/>
    <w:rsid w:val="001A5E24"/>
    <w:rsid w:val="001A6D8B"/>
    <w:rsid w:val="001B00A8"/>
    <w:rsid w:val="001B1C4A"/>
    <w:rsid w:val="001B534E"/>
    <w:rsid w:val="001B57A8"/>
    <w:rsid w:val="001B65A2"/>
    <w:rsid w:val="001B740E"/>
    <w:rsid w:val="001B7437"/>
    <w:rsid w:val="001B7E41"/>
    <w:rsid w:val="001B7F00"/>
    <w:rsid w:val="001C006E"/>
    <w:rsid w:val="001C086E"/>
    <w:rsid w:val="001C1BCE"/>
    <w:rsid w:val="001C2EE9"/>
    <w:rsid w:val="001C3AD9"/>
    <w:rsid w:val="001C7E82"/>
    <w:rsid w:val="001D1712"/>
    <w:rsid w:val="001D17EE"/>
    <w:rsid w:val="001D18E0"/>
    <w:rsid w:val="001D255E"/>
    <w:rsid w:val="001D3523"/>
    <w:rsid w:val="001D3970"/>
    <w:rsid w:val="001D4B14"/>
    <w:rsid w:val="001D554A"/>
    <w:rsid w:val="001D5662"/>
    <w:rsid w:val="001D5A8A"/>
    <w:rsid w:val="001D5D9C"/>
    <w:rsid w:val="001D6068"/>
    <w:rsid w:val="001D71F1"/>
    <w:rsid w:val="001D721C"/>
    <w:rsid w:val="001D7F8F"/>
    <w:rsid w:val="001E129E"/>
    <w:rsid w:val="001E1DB0"/>
    <w:rsid w:val="001E2052"/>
    <w:rsid w:val="001E2A50"/>
    <w:rsid w:val="001E343D"/>
    <w:rsid w:val="001E40B9"/>
    <w:rsid w:val="001E4232"/>
    <w:rsid w:val="001E474A"/>
    <w:rsid w:val="001E4850"/>
    <w:rsid w:val="001E48C2"/>
    <w:rsid w:val="001E6CEB"/>
    <w:rsid w:val="001E7177"/>
    <w:rsid w:val="001E798B"/>
    <w:rsid w:val="001F0E14"/>
    <w:rsid w:val="001F2FCB"/>
    <w:rsid w:val="001F3238"/>
    <w:rsid w:val="001F325C"/>
    <w:rsid w:val="001F36B5"/>
    <w:rsid w:val="001F5CC1"/>
    <w:rsid w:val="001F6485"/>
    <w:rsid w:val="001F678E"/>
    <w:rsid w:val="001F6E59"/>
    <w:rsid w:val="001F794B"/>
    <w:rsid w:val="00200C40"/>
    <w:rsid w:val="00202CAB"/>
    <w:rsid w:val="0020307F"/>
    <w:rsid w:val="0020345A"/>
    <w:rsid w:val="00203825"/>
    <w:rsid w:val="0020437A"/>
    <w:rsid w:val="0020517D"/>
    <w:rsid w:val="0020770B"/>
    <w:rsid w:val="00207921"/>
    <w:rsid w:val="00210EC2"/>
    <w:rsid w:val="002114C7"/>
    <w:rsid w:val="00211A29"/>
    <w:rsid w:val="00213066"/>
    <w:rsid w:val="00213E98"/>
    <w:rsid w:val="00213EE5"/>
    <w:rsid w:val="00215314"/>
    <w:rsid w:val="002154EB"/>
    <w:rsid w:val="002156AE"/>
    <w:rsid w:val="00216D43"/>
    <w:rsid w:val="00216F6B"/>
    <w:rsid w:val="002174A9"/>
    <w:rsid w:val="0022037A"/>
    <w:rsid w:val="00222879"/>
    <w:rsid w:val="00222D9F"/>
    <w:rsid w:val="002237DB"/>
    <w:rsid w:val="0022574B"/>
    <w:rsid w:val="00225835"/>
    <w:rsid w:val="0022744B"/>
    <w:rsid w:val="00227954"/>
    <w:rsid w:val="00231B89"/>
    <w:rsid w:val="00231FA0"/>
    <w:rsid w:val="00231FA2"/>
    <w:rsid w:val="00232251"/>
    <w:rsid w:val="00232760"/>
    <w:rsid w:val="00232766"/>
    <w:rsid w:val="00232EFE"/>
    <w:rsid w:val="0023304F"/>
    <w:rsid w:val="00234045"/>
    <w:rsid w:val="0023482A"/>
    <w:rsid w:val="00234FE0"/>
    <w:rsid w:val="002355BE"/>
    <w:rsid w:val="00237020"/>
    <w:rsid w:val="00241FA0"/>
    <w:rsid w:val="00242682"/>
    <w:rsid w:val="002439AB"/>
    <w:rsid w:val="00244B22"/>
    <w:rsid w:val="00245131"/>
    <w:rsid w:val="002451A7"/>
    <w:rsid w:val="00245F2B"/>
    <w:rsid w:val="00245FF7"/>
    <w:rsid w:val="002476B6"/>
    <w:rsid w:val="0025080F"/>
    <w:rsid w:val="00251088"/>
    <w:rsid w:val="002511B0"/>
    <w:rsid w:val="002518B9"/>
    <w:rsid w:val="002519ED"/>
    <w:rsid w:val="00251C14"/>
    <w:rsid w:val="00252061"/>
    <w:rsid w:val="002525C0"/>
    <w:rsid w:val="00253D8B"/>
    <w:rsid w:val="002560B6"/>
    <w:rsid w:val="002564B9"/>
    <w:rsid w:val="002566B1"/>
    <w:rsid w:val="0025721A"/>
    <w:rsid w:val="002600BB"/>
    <w:rsid w:val="002601E7"/>
    <w:rsid w:val="00260C49"/>
    <w:rsid w:val="00260CFF"/>
    <w:rsid w:val="002616AC"/>
    <w:rsid w:val="00262F79"/>
    <w:rsid w:val="002642EF"/>
    <w:rsid w:val="002657A7"/>
    <w:rsid w:val="002657FB"/>
    <w:rsid w:val="0026590D"/>
    <w:rsid w:val="00266673"/>
    <w:rsid w:val="002670D9"/>
    <w:rsid w:val="0026796A"/>
    <w:rsid w:val="00270864"/>
    <w:rsid w:val="002711CB"/>
    <w:rsid w:val="002724B4"/>
    <w:rsid w:val="002746AE"/>
    <w:rsid w:val="0027501B"/>
    <w:rsid w:val="0027535F"/>
    <w:rsid w:val="00276725"/>
    <w:rsid w:val="00276AF5"/>
    <w:rsid w:val="00276FBE"/>
    <w:rsid w:val="002807AD"/>
    <w:rsid w:val="00281240"/>
    <w:rsid w:val="0028165C"/>
    <w:rsid w:val="00281BF4"/>
    <w:rsid w:val="00282454"/>
    <w:rsid w:val="00282804"/>
    <w:rsid w:val="002835B0"/>
    <w:rsid w:val="00283761"/>
    <w:rsid w:val="002837E9"/>
    <w:rsid w:val="002841B8"/>
    <w:rsid w:val="00284213"/>
    <w:rsid w:val="00284567"/>
    <w:rsid w:val="00285063"/>
    <w:rsid w:val="00285481"/>
    <w:rsid w:val="00286A5B"/>
    <w:rsid w:val="00286E63"/>
    <w:rsid w:val="00287763"/>
    <w:rsid w:val="00291D31"/>
    <w:rsid w:val="00293043"/>
    <w:rsid w:val="00293B43"/>
    <w:rsid w:val="00293E04"/>
    <w:rsid w:val="00294DA6"/>
    <w:rsid w:val="002952AF"/>
    <w:rsid w:val="00295D11"/>
    <w:rsid w:val="00295E8B"/>
    <w:rsid w:val="00296EB4"/>
    <w:rsid w:val="002972BF"/>
    <w:rsid w:val="00297A2B"/>
    <w:rsid w:val="002A018B"/>
    <w:rsid w:val="002A0B9A"/>
    <w:rsid w:val="002A33C7"/>
    <w:rsid w:val="002A34C4"/>
    <w:rsid w:val="002A3710"/>
    <w:rsid w:val="002A3CF2"/>
    <w:rsid w:val="002A49C4"/>
    <w:rsid w:val="002A5D15"/>
    <w:rsid w:val="002A5DAE"/>
    <w:rsid w:val="002B06E5"/>
    <w:rsid w:val="002B14BD"/>
    <w:rsid w:val="002B154F"/>
    <w:rsid w:val="002B166B"/>
    <w:rsid w:val="002B2DD4"/>
    <w:rsid w:val="002B356B"/>
    <w:rsid w:val="002B3B3E"/>
    <w:rsid w:val="002B5E20"/>
    <w:rsid w:val="002B603F"/>
    <w:rsid w:val="002B626E"/>
    <w:rsid w:val="002B6299"/>
    <w:rsid w:val="002B6FA1"/>
    <w:rsid w:val="002B74D4"/>
    <w:rsid w:val="002C076D"/>
    <w:rsid w:val="002C0C1C"/>
    <w:rsid w:val="002C15CC"/>
    <w:rsid w:val="002C16F9"/>
    <w:rsid w:val="002C1BF2"/>
    <w:rsid w:val="002C25DF"/>
    <w:rsid w:val="002C2910"/>
    <w:rsid w:val="002C47F5"/>
    <w:rsid w:val="002C4A01"/>
    <w:rsid w:val="002C5BC9"/>
    <w:rsid w:val="002C641B"/>
    <w:rsid w:val="002C6651"/>
    <w:rsid w:val="002C6AD4"/>
    <w:rsid w:val="002D08B3"/>
    <w:rsid w:val="002D0A25"/>
    <w:rsid w:val="002D0D9A"/>
    <w:rsid w:val="002D0EDC"/>
    <w:rsid w:val="002D1B37"/>
    <w:rsid w:val="002D361D"/>
    <w:rsid w:val="002D41AD"/>
    <w:rsid w:val="002D4B03"/>
    <w:rsid w:val="002D5449"/>
    <w:rsid w:val="002D5726"/>
    <w:rsid w:val="002D5BFB"/>
    <w:rsid w:val="002D74C5"/>
    <w:rsid w:val="002D7648"/>
    <w:rsid w:val="002E05CF"/>
    <w:rsid w:val="002E0980"/>
    <w:rsid w:val="002E0E41"/>
    <w:rsid w:val="002E109C"/>
    <w:rsid w:val="002E1981"/>
    <w:rsid w:val="002E1A1E"/>
    <w:rsid w:val="002E27F4"/>
    <w:rsid w:val="002E3000"/>
    <w:rsid w:val="002E5887"/>
    <w:rsid w:val="002E58E2"/>
    <w:rsid w:val="002E6B79"/>
    <w:rsid w:val="002E7D8A"/>
    <w:rsid w:val="002F0D80"/>
    <w:rsid w:val="002F182D"/>
    <w:rsid w:val="002F199D"/>
    <w:rsid w:val="002F1F47"/>
    <w:rsid w:val="002F218A"/>
    <w:rsid w:val="002F3272"/>
    <w:rsid w:val="002F370D"/>
    <w:rsid w:val="002F5188"/>
    <w:rsid w:val="002F5449"/>
    <w:rsid w:val="002F5A2E"/>
    <w:rsid w:val="002F614F"/>
    <w:rsid w:val="002F639A"/>
    <w:rsid w:val="002F63E5"/>
    <w:rsid w:val="002F651C"/>
    <w:rsid w:val="002F7044"/>
    <w:rsid w:val="002F768C"/>
    <w:rsid w:val="002F7912"/>
    <w:rsid w:val="002F7CCF"/>
    <w:rsid w:val="002F7D1E"/>
    <w:rsid w:val="002F7D56"/>
    <w:rsid w:val="003019A4"/>
    <w:rsid w:val="00301A1A"/>
    <w:rsid w:val="00301BD4"/>
    <w:rsid w:val="00303056"/>
    <w:rsid w:val="00303F2B"/>
    <w:rsid w:val="0030400D"/>
    <w:rsid w:val="00304ECE"/>
    <w:rsid w:val="00305E4E"/>
    <w:rsid w:val="003067AA"/>
    <w:rsid w:val="0030762A"/>
    <w:rsid w:val="00310CBD"/>
    <w:rsid w:val="0031221E"/>
    <w:rsid w:val="00313967"/>
    <w:rsid w:val="003141F7"/>
    <w:rsid w:val="00314469"/>
    <w:rsid w:val="003148D6"/>
    <w:rsid w:val="00314A70"/>
    <w:rsid w:val="00315740"/>
    <w:rsid w:val="003165A9"/>
    <w:rsid w:val="0031725B"/>
    <w:rsid w:val="00317418"/>
    <w:rsid w:val="003174B9"/>
    <w:rsid w:val="00317BA7"/>
    <w:rsid w:val="00317CF5"/>
    <w:rsid w:val="00317E5D"/>
    <w:rsid w:val="0032078C"/>
    <w:rsid w:val="003209E2"/>
    <w:rsid w:val="00320C0E"/>
    <w:rsid w:val="00321CC1"/>
    <w:rsid w:val="00322520"/>
    <w:rsid w:val="00322B20"/>
    <w:rsid w:val="00323208"/>
    <w:rsid w:val="00323B9B"/>
    <w:rsid w:val="00324C23"/>
    <w:rsid w:val="00324D63"/>
    <w:rsid w:val="00325502"/>
    <w:rsid w:val="00326E07"/>
    <w:rsid w:val="00326FA7"/>
    <w:rsid w:val="00330610"/>
    <w:rsid w:val="00330B80"/>
    <w:rsid w:val="003329B3"/>
    <w:rsid w:val="003357F1"/>
    <w:rsid w:val="00335819"/>
    <w:rsid w:val="00335BB4"/>
    <w:rsid w:val="00335DC5"/>
    <w:rsid w:val="003367B3"/>
    <w:rsid w:val="0033691E"/>
    <w:rsid w:val="003374B6"/>
    <w:rsid w:val="003374B7"/>
    <w:rsid w:val="0033762D"/>
    <w:rsid w:val="00341217"/>
    <w:rsid w:val="003416BA"/>
    <w:rsid w:val="00341C4A"/>
    <w:rsid w:val="00341D1C"/>
    <w:rsid w:val="00341FB3"/>
    <w:rsid w:val="00342D82"/>
    <w:rsid w:val="00342F99"/>
    <w:rsid w:val="00344074"/>
    <w:rsid w:val="00344750"/>
    <w:rsid w:val="0034501B"/>
    <w:rsid w:val="00345476"/>
    <w:rsid w:val="00346910"/>
    <w:rsid w:val="0034691D"/>
    <w:rsid w:val="003469A0"/>
    <w:rsid w:val="0035074B"/>
    <w:rsid w:val="003512EE"/>
    <w:rsid w:val="00351656"/>
    <w:rsid w:val="00351898"/>
    <w:rsid w:val="003518A6"/>
    <w:rsid w:val="003522DD"/>
    <w:rsid w:val="003523FE"/>
    <w:rsid w:val="00352D8A"/>
    <w:rsid w:val="00353621"/>
    <w:rsid w:val="00355125"/>
    <w:rsid w:val="003557A5"/>
    <w:rsid w:val="00355950"/>
    <w:rsid w:val="003568E4"/>
    <w:rsid w:val="00356988"/>
    <w:rsid w:val="00357A1D"/>
    <w:rsid w:val="00362636"/>
    <w:rsid w:val="00362BAC"/>
    <w:rsid w:val="0036324A"/>
    <w:rsid w:val="003636EB"/>
    <w:rsid w:val="00364034"/>
    <w:rsid w:val="00366E83"/>
    <w:rsid w:val="00370880"/>
    <w:rsid w:val="00370DC7"/>
    <w:rsid w:val="00371539"/>
    <w:rsid w:val="003721E8"/>
    <w:rsid w:val="00372BE3"/>
    <w:rsid w:val="00373741"/>
    <w:rsid w:val="00374441"/>
    <w:rsid w:val="0037493D"/>
    <w:rsid w:val="00375499"/>
    <w:rsid w:val="0037599C"/>
    <w:rsid w:val="0037626E"/>
    <w:rsid w:val="00377843"/>
    <w:rsid w:val="00377933"/>
    <w:rsid w:val="00377E0C"/>
    <w:rsid w:val="003808C9"/>
    <w:rsid w:val="0038116A"/>
    <w:rsid w:val="00381224"/>
    <w:rsid w:val="00381606"/>
    <w:rsid w:val="00381A30"/>
    <w:rsid w:val="00382B81"/>
    <w:rsid w:val="00383B0B"/>
    <w:rsid w:val="003875A4"/>
    <w:rsid w:val="00387610"/>
    <w:rsid w:val="00387715"/>
    <w:rsid w:val="00387D59"/>
    <w:rsid w:val="00390286"/>
    <w:rsid w:val="003907C7"/>
    <w:rsid w:val="00391F0D"/>
    <w:rsid w:val="003928C0"/>
    <w:rsid w:val="00392A0E"/>
    <w:rsid w:val="00392E52"/>
    <w:rsid w:val="00393154"/>
    <w:rsid w:val="00393EC8"/>
    <w:rsid w:val="0039444E"/>
    <w:rsid w:val="003948D0"/>
    <w:rsid w:val="00394910"/>
    <w:rsid w:val="00394FE9"/>
    <w:rsid w:val="00396A2D"/>
    <w:rsid w:val="00396FC3"/>
    <w:rsid w:val="00397BC9"/>
    <w:rsid w:val="003A1198"/>
    <w:rsid w:val="003A145B"/>
    <w:rsid w:val="003A1812"/>
    <w:rsid w:val="003A1FBA"/>
    <w:rsid w:val="003A2732"/>
    <w:rsid w:val="003A2FC6"/>
    <w:rsid w:val="003A3E15"/>
    <w:rsid w:val="003A4717"/>
    <w:rsid w:val="003A5758"/>
    <w:rsid w:val="003A64BB"/>
    <w:rsid w:val="003A6AB0"/>
    <w:rsid w:val="003A6AD5"/>
    <w:rsid w:val="003A7788"/>
    <w:rsid w:val="003B0B6A"/>
    <w:rsid w:val="003B0F0E"/>
    <w:rsid w:val="003B19FB"/>
    <w:rsid w:val="003B1C21"/>
    <w:rsid w:val="003B1D17"/>
    <w:rsid w:val="003B1F18"/>
    <w:rsid w:val="003B2199"/>
    <w:rsid w:val="003B29CF"/>
    <w:rsid w:val="003B31AB"/>
    <w:rsid w:val="003B34E6"/>
    <w:rsid w:val="003B4A36"/>
    <w:rsid w:val="003B4F2C"/>
    <w:rsid w:val="003B54A5"/>
    <w:rsid w:val="003B5C8E"/>
    <w:rsid w:val="003B6D60"/>
    <w:rsid w:val="003B7362"/>
    <w:rsid w:val="003C071B"/>
    <w:rsid w:val="003C13D8"/>
    <w:rsid w:val="003C1BD9"/>
    <w:rsid w:val="003C31B1"/>
    <w:rsid w:val="003C3BA0"/>
    <w:rsid w:val="003C402E"/>
    <w:rsid w:val="003C4580"/>
    <w:rsid w:val="003C486C"/>
    <w:rsid w:val="003C497F"/>
    <w:rsid w:val="003C52C5"/>
    <w:rsid w:val="003C6746"/>
    <w:rsid w:val="003C7252"/>
    <w:rsid w:val="003C73C1"/>
    <w:rsid w:val="003C79CC"/>
    <w:rsid w:val="003C7F0D"/>
    <w:rsid w:val="003D15AD"/>
    <w:rsid w:val="003D2506"/>
    <w:rsid w:val="003D50B5"/>
    <w:rsid w:val="003D65D8"/>
    <w:rsid w:val="003D7181"/>
    <w:rsid w:val="003D759D"/>
    <w:rsid w:val="003D7CE8"/>
    <w:rsid w:val="003E1A2C"/>
    <w:rsid w:val="003E1B7A"/>
    <w:rsid w:val="003E24AB"/>
    <w:rsid w:val="003E285E"/>
    <w:rsid w:val="003E3300"/>
    <w:rsid w:val="003E4C78"/>
    <w:rsid w:val="003E5FF0"/>
    <w:rsid w:val="003E72B9"/>
    <w:rsid w:val="003F1DB9"/>
    <w:rsid w:val="003F1F7D"/>
    <w:rsid w:val="003F3FAD"/>
    <w:rsid w:val="003F41F0"/>
    <w:rsid w:val="003F47BA"/>
    <w:rsid w:val="003F47F5"/>
    <w:rsid w:val="003F62C5"/>
    <w:rsid w:val="003F6617"/>
    <w:rsid w:val="00400CBA"/>
    <w:rsid w:val="0040118D"/>
    <w:rsid w:val="00401529"/>
    <w:rsid w:val="00402906"/>
    <w:rsid w:val="00402B26"/>
    <w:rsid w:val="00404D55"/>
    <w:rsid w:val="0040602F"/>
    <w:rsid w:val="004066CC"/>
    <w:rsid w:val="0040729A"/>
    <w:rsid w:val="00407BE4"/>
    <w:rsid w:val="00411B16"/>
    <w:rsid w:val="00411CA2"/>
    <w:rsid w:val="00411D68"/>
    <w:rsid w:val="00412DD4"/>
    <w:rsid w:val="00414BA8"/>
    <w:rsid w:val="00414BE8"/>
    <w:rsid w:val="00414DA2"/>
    <w:rsid w:val="00415F25"/>
    <w:rsid w:val="00416111"/>
    <w:rsid w:val="00417BAA"/>
    <w:rsid w:val="00420568"/>
    <w:rsid w:val="0042056C"/>
    <w:rsid w:val="004217DB"/>
    <w:rsid w:val="00422204"/>
    <w:rsid w:val="00422462"/>
    <w:rsid w:val="00422A10"/>
    <w:rsid w:val="00422CF5"/>
    <w:rsid w:val="00423190"/>
    <w:rsid w:val="0042369F"/>
    <w:rsid w:val="00424A99"/>
    <w:rsid w:val="00426CCA"/>
    <w:rsid w:val="00427713"/>
    <w:rsid w:val="00427F35"/>
    <w:rsid w:val="004303E6"/>
    <w:rsid w:val="00430588"/>
    <w:rsid w:val="00432589"/>
    <w:rsid w:val="00432633"/>
    <w:rsid w:val="00432896"/>
    <w:rsid w:val="004330CA"/>
    <w:rsid w:val="00433B60"/>
    <w:rsid w:val="004348E9"/>
    <w:rsid w:val="00434935"/>
    <w:rsid w:val="00436171"/>
    <w:rsid w:val="004379E7"/>
    <w:rsid w:val="0044169D"/>
    <w:rsid w:val="00442C4F"/>
    <w:rsid w:val="004430A4"/>
    <w:rsid w:val="0044372F"/>
    <w:rsid w:val="00443A52"/>
    <w:rsid w:val="00445593"/>
    <w:rsid w:val="00445A2F"/>
    <w:rsid w:val="00445D65"/>
    <w:rsid w:val="0044684E"/>
    <w:rsid w:val="00450555"/>
    <w:rsid w:val="00452AE1"/>
    <w:rsid w:val="004572F3"/>
    <w:rsid w:val="00457443"/>
    <w:rsid w:val="00457ECE"/>
    <w:rsid w:val="00460750"/>
    <w:rsid w:val="00460821"/>
    <w:rsid w:val="0046134C"/>
    <w:rsid w:val="00461B6A"/>
    <w:rsid w:val="00461EBA"/>
    <w:rsid w:val="0046265C"/>
    <w:rsid w:val="00462D42"/>
    <w:rsid w:val="00463865"/>
    <w:rsid w:val="00463EAB"/>
    <w:rsid w:val="00464261"/>
    <w:rsid w:val="0046427E"/>
    <w:rsid w:val="00464D90"/>
    <w:rsid w:val="00464FB3"/>
    <w:rsid w:val="0046539B"/>
    <w:rsid w:val="004654BE"/>
    <w:rsid w:val="004655AC"/>
    <w:rsid w:val="0046570E"/>
    <w:rsid w:val="00466BA3"/>
    <w:rsid w:val="00466E9C"/>
    <w:rsid w:val="00467461"/>
    <w:rsid w:val="00470558"/>
    <w:rsid w:val="0047119F"/>
    <w:rsid w:val="00471821"/>
    <w:rsid w:val="0047191D"/>
    <w:rsid w:val="00473128"/>
    <w:rsid w:val="00473771"/>
    <w:rsid w:val="004737CD"/>
    <w:rsid w:val="004744B6"/>
    <w:rsid w:val="00475088"/>
    <w:rsid w:val="00475323"/>
    <w:rsid w:val="00475585"/>
    <w:rsid w:val="004757B8"/>
    <w:rsid w:val="004761F2"/>
    <w:rsid w:val="004763CD"/>
    <w:rsid w:val="004770EE"/>
    <w:rsid w:val="004779D3"/>
    <w:rsid w:val="00477DBF"/>
    <w:rsid w:val="00480372"/>
    <w:rsid w:val="00480CB5"/>
    <w:rsid w:val="00480F56"/>
    <w:rsid w:val="00481669"/>
    <w:rsid w:val="00481D5D"/>
    <w:rsid w:val="00481F19"/>
    <w:rsid w:val="00481FC3"/>
    <w:rsid w:val="0048204C"/>
    <w:rsid w:val="004822B3"/>
    <w:rsid w:val="004826FE"/>
    <w:rsid w:val="004832D6"/>
    <w:rsid w:val="00484A79"/>
    <w:rsid w:val="00484B69"/>
    <w:rsid w:val="00484E1B"/>
    <w:rsid w:val="0048579C"/>
    <w:rsid w:val="0048590F"/>
    <w:rsid w:val="00485C9F"/>
    <w:rsid w:val="00485E06"/>
    <w:rsid w:val="00486FD8"/>
    <w:rsid w:val="004879A0"/>
    <w:rsid w:val="00490B0E"/>
    <w:rsid w:val="004915EE"/>
    <w:rsid w:val="004921F9"/>
    <w:rsid w:val="00492A25"/>
    <w:rsid w:val="004930FB"/>
    <w:rsid w:val="00493C54"/>
    <w:rsid w:val="00495574"/>
    <w:rsid w:val="00495C30"/>
    <w:rsid w:val="00495EC2"/>
    <w:rsid w:val="00495F04"/>
    <w:rsid w:val="004A10B5"/>
    <w:rsid w:val="004A1405"/>
    <w:rsid w:val="004A1F16"/>
    <w:rsid w:val="004A279F"/>
    <w:rsid w:val="004A2B88"/>
    <w:rsid w:val="004A2BFE"/>
    <w:rsid w:val="004A381E"/>
    <w:rsid w:val="004A5A21"/>
    <w:rsid w:val="004B1161"/>
    <w:rsid w:val="004B1B87"/>
    <w:rsid w:val="004B1FF5"/>
    <w:rsid w:val="004B29AC"/>
    <w:rsid w:val="004B378F"/>
    <w:rsid w:val="004B3D9C"/>
    <w:rsid w:val="004B6CE1"/>
    <w:rsid w:val="004B72F8"/>
    <w:rsid w:val="004B7C8A"/>
    <w:rsid w:val="004B7F88"/>
    <w:rsid w:val="004C075E"/>
    <w:rsid w:val="004C382A"/>
    <w:rsid w:val="004C4A01"/>
    <w:rsid w:val="004C4EF9"/>
    <w:rsid w:val="004C51FD"/>
    <w:rsid w:val="004C5987"/>
    <w:rsid w:val="004C62FC"/>
    <w:rsid w:val="004C7393"/>
    <w:rsid w:val="004C7D12"/>
    <w:rsid w:val="004D04ED"/>
    <w:rsid w:val="004D1D1C"/>
    <w:rsid w:val="004D2288"/>
    <w:rsid w:val="004D2499"/>
    <w:rsid w:val="004D29ED"/>
    <w:rsid w:val="004D35BA"/>
    <w:rsid w:val="004D377F"/>
    <w:rsid w:val="004D41DD"/>
    <w:rsid w:val="004D54A4"/>
    <w:rsid w:val="004D5599"/>
    <w:rsid w:val="004D6102"/>
    <w:rsid w:val="004D618D"/>
    <w:rsid w:val="004D655D"/>
    <w:rsid w:val="004D72F6"/>
    <w:rsid w:val="004D77DC"/>
    <w:rsid w:val="004D7842"/>
    <w:rsid w:val="004E09DA"/>
    <w:rsid w:val="004E25A8"/>
    <w:rsid w:val="004E375D"/>
    <w:rsid w:val="004E3F6C"/>
    <w:rsid w:val="004E52EE"/>
    <w:rsid w:val="004E59CE"/>
    <w:rsid w:val="004E5C95"/>
    <w:rsid w:val="004E5D54"/>
    <w:rsid w:val="004E6097"/>
    <w:rsid w:val="004E687A"/>
    <w:rsid w:val="004E6D9E"/>
    <w:rsid w:val="004E747E"/>
    <w:rsid w:val="004E7B03"/>
    <w:rsid w:val="004F0180"/>
    <w:rsid w:val="004F0446"/>
    <w:rsid w:val="004F06AC"/>
    <w:rsid w:val="004F0FFC"/>
    <w:rsid w:val="004F1322"/>
    <w:rsid w:val="004F15AE"/>
    <w:rsid w:val="004F17AF"/>
    <w:rsid w:val="004F2193"/>
    <w:rsid w:val="004F23AE"/>
    <w:rsid w:val="004F2EFC"/>
    <w:rsid w:val="004F2FA1"/>
    <w:rsid w:val="004F427F"/>
    <w:rsid w:val="004F552A"/>
    <w:rsid w:val="004F5E9E"/>
    <w:rsid w:val="004F70FC"/>
    <w:rsid w:val="004F7A06"/>
    <w:rsid w:val="00500258"/>
    <w:rsid w:val="00500B2F"/>
    <w:rsid w:val="00502898"/>
    <w:rsid w:val="00502C96"/>
    <w:rsid w:val="00503031"/>
    <w:rsid w:val="005035CC"/>
    <w:rsid w:val="005047B4"/>
    <w:rsid w:val="0050487A"/>
    <w:rsid w:val="0050557B"/>
    <w:rsid w:val="00505A6C"/>
    <w:rsid w:val="00506FC6"/>
    <w:rsid w:val="00507561"/>
    <w:rsid w:val="005102B7"/>
    <w:rsid w:val="005111BB"/>
    <w:rsid w:val="005120FC"/>
    <w:rsid w:val="0051212C"/>
    <w:rsid w:val="005128BE"/>
    <w:rsid w:val="00512DF6"/>
    <w:rsid w:val="00512F7E"/>
    <w:rsid w:val="00513264"/>
    <w:rsid w:val="00513DC9"/>
    <w:rsid w:val="00513E7C"/>
    <w:rsid w:val="0051518E"/>
    <w:rsid w:val="005157D4"/>
    <w:rsid w:val="0051608F"/>
    <w:rsid w:val="005160F7"/>
    <w:rsid w:val="005177CF"/>
    <w:rsid w:val="00517EB4"/>
    <w:rsid w:val="00521605"/>
    <w:rsid w:val="00522E0E"/>
    <w:rsid w:val="00523674"/>
    <w:rsid w:val="00523CE5"/>
    <w:rsid w:val="00524803"/>
    <w:rsid w:val="00524AD9"/>
    <w:rsid w:val="00524B50"/>
    <w:rsid w:val="00524C5A"/>
    <w:rsid w:val="00524E5E"/>
    <w:rsid w:val="0052542C"/>
    <w:rsid w:val="00526049"/>
    <w:rsid w:val="00526651"/>
    <w:rsid w:val="00526BC3"/>
    <w:rsid w:val="00527AE1"/>
    <w:rsid w:val="0053195D"/>
    <w:rsid w:val="0053291F"/>
    <w:rsid w:val="00532AB7"/>
    <w:rsid w:val="0053346F"/>
    <w:rsid w:val="00533A13"/>
    <w:rsid w:val="00534BE3"/>
    <w:rsid w:val="00534D3F"/>
    <w:rsid w:val="00535291"/>
    <w:rsid w:val="0053798F"/>
    <w:rsid w:val="005401BF"/>
    <w:rsid w:val="005402E3"/>
    <w:rsid w:val="00540631"/>
    <w:rsid w:val="005411AE"/>
    <w:rsid w:val="00541F84"/>
    <w:rsid w:val="00543402"/>
    <w:rsid w:val="005437E0"/>
    <w:rsid w:val="00543AF4"/>
    <w:rsid w:val="00543C6E"/>
    <w:rsid w:val="00544191"/>
    <w:rsid w:val="00544678"/>
    <w:rsid w:val="00544F39"/>
    <w:rsid w:val="00546A39"/>
    <w:rsid w:val="00546F6A"/>
    <w:rsid w:val="00547A70"/>
    <w:rsid w:val="00547E29"/>
    <w:rsid w:val="00547EFB"/>
    <w:rsid w:val="00550829"/>
    <w:rsid w:val="00551CCF"/>
    <w:rsid w:val="0055243F"/>
    <w:rsid w:val="005528A4"/>
    <w:rsid w:val="00552F68"/>
    <w:rsid w:val="005531DF"/>
    <w:rsid w:val="0055348C"/>
    <w:rsid w:val="00553F10"/>
    <w:rsid w:val="00554151"/>
    <w:rsid w:val="005542CF"/>
    <w:rsid w:val="00554AFA"/>
    <w:rsid w:val="00554D00"/>
    <w:rsid w:val="00554E98"/>
    <w:rsid w:val="00554F78"/>
    <w:rsid w:val="005556FD"/>
    <w:rsid w:val="00555834"/>
    <w:rsid w:val="00555E36"/>
    <w:rsid w:val="00556F7A"/>
    <w:rsid w:val="0055781F"/>
    <w:rsid w:val="00557B42"/>
    <w:rsid w:val="00557EE9"/>
    <w:rsid w:val="005601FC"/>
    <w:rsid w:val="00560358"/>
    <w:rsid w:val="00561B7B"/>
    <w:rsid w:val="0056451E"/>
    <w:rsid w:val="00565B30"/>
    <w:rsid w:val="00565E69"/>
    <w:rsid w:val="00567019"/>
    <w:rsid w:val="0056734C"/>
    <w:rsid w:val="005678DE"/>
    <w:rsid w:val="00570195"/>
    <w:rsid w:val="00573733"/>
    <w:rsid w:val="00573BC8"/>
    <w:rsid w:val="00573EEF"/>
    <w:rsid w:val="005740B5"/>
    <w:rsid w:val="0057423C"/>
    <w:rsid w:val="00574CDA"/>
    <w:rsid w:val="00575398"/>
    <w:rsid w:val="00575A24"/>
    <w:rsid w:val="005779E4"/>
    <w:rsid w:val="00577FA3"/>
    <w:rsid w:val="005800DA"/>
    <w:rsid w:val="005809E1"/>
    <w:rsid w:val="0058143C"/>
    <w:rsid w:val="00581AD7"/>
    <w:rsid w:val="00582452"/>
    <w:rsid w:val="00582CBA"/>
    <w:rsid w:val="00582D87"/>
    <w:rsid w:val="0058335D"/>
    <w:rsid w:val="0058338E"/>
    <w:rsid w:val="005836C7"/>
    <w:rsid w:val="00583974"/>
    <w:rsid w:val="00584CFA"/>
    <w:rsid w:val="00584E2C"/>
    <w:rsid w:val="00585B5A"/>
    <w:rsid w:val="00586C5C"/>
    <w:rsid w:val="00590B77"/>
    <w:rsid w:val="00590EA7"/>
    <w:rsid w:val="005913A3"/>
    <w:rsid w:val="00593753"/>
    <w:rsid w:val="00593D5E"/>
    <w:rsid w:val="005947FC"/>
    <w:rsid w:val="00595131"/>
    <w:rsid w:val="0059534C"/>
    <w:rsid w:val="00595D54"/>
    <w:rsid w:val="0059723F"/>
    <w:rsid w:val="005A1953"/>
    <w:rsid w:val="005A24F0"/>
    <w:rsid w:val="005A279C"/>
    <w:rsid w:val="005A297C"/>
    <w:rsid w:val="005A2FC6"/>
    <w:rsid w:val="005A32F7"/>
    <w:rsid w:val="005A38E2"/>
    <w:rsid w:val="005A3B06"/>
    <w:rsid w:val="005A4B84"/>
    <w:rsid w:val="005A51A6"/>
    <w:rsid w:val="005A5BC2"/>
    <w:rsid w:val="005A71E9"/>
    <w:rsid w:val="005A7328"/>
    <w:rsid w:val="005A7CCD"/>
    <w:rsid w:val="005A7F37"/>
    <w:rsid w:val="005B07EC"/>
    <w:rsid w:val="005B1C37"/>
    <w:rsid w:val="005B2EAD"/>
    <w:rsid w:val="005B3341"/>
    <w:rsid w:val="005B45DE"/>
    <w:rsid w:val="005B483F"/>
    <w:rsid w:val="005B487C"/>
    <w:rsid w:val="005B49E4"/>
    <w:rsid w:val="005B4D28"/>
    <w:rsid w:val="005B519C"/>
    <w:rsid w:val="005B5BEE"/>
    <w:rsid w:val="005B720C"/>
    <w:rsid w:val="005B7552"/>
    <w:rsid w:val="005B77D2"/>
    <w:rsid w:val="005C0F36"/>
    <w:rsid w:val="005C1F32"/>
    <w:rsid w:val="005C2695"/>
    <w:rsid w:val="005C2F0A"/>
    <w:rsid w:val="005C3032"/>
    <w:rsid w:val="005C30F5"/>
    <w:rsid w:val="005C3779"/>
    <w:rsid w:val="005C4F0B"/>
    <w:rsid w:val="005C6000"/>
    <w:rsid w:val="005C6AE9"/>
    <w:rsid w:val="005C6B8B"/>
    <w:rsid w:val="005C72A0"/>
    <w:rsid w:val="005C7AD0"/>
    <w:rsid w:val="005D02E3"/>
    <w:rsid w:val="005D05F5"/>
    <w:rsid w:val="005D0F31"/>
    <w:rsid w:val="005D1A53"/>
    <w:rsid w:val="005D1D98"/>
    <w:rsid w:val="005D20B1"/>
    <w:rsid w:val="005D2571"/>
    <w:rsid w:val="005D39FD"/>
    <w:rsid w:val="005D3AC8"/>
    <w:rsid w:val="005D3B54"/>
    <w:rsid w:val="005D4201"/>
    <w:rsid w:val="005D43F8"/>
    <w:rsid w:val="005D46D5"/>
    <w:rsid w:val="005D651A"/>
    <w:rsid w:val="005D69A8"/>
    <w:rsid w:val="005D6F7E"/>
    <w:rsid w:val="005D705E"/>
    <w:rsid w:val="005E04B9"/>
    <w:rsid w:val="005E069F"/>
    <w:rsid w:val="005E180E"/>
    <w:rsid w:val="005E18E8"/>
    <w:rsid w:val="005E2B68"/>
    <w:rsid w:val="005E2DAA"/>
    <w:rsid w:val="005E3104"/>
    <w:rsid w:val="005E666A"/>
    <w:rsid w:val="005E6CE3"/>
    <w:rsid w:val="005F0136"/>
    <w:rsid w:val="005F02F0"/>
    <w:rsid w:val="005F0FF8"/>
    <w:rsid w:val="005F11B1"/>
    <w:rsid w:val="005F1516"/>
    <w:rsid w:val="005F229E"/>
    <w:rsid w:val="005F2D9A"/>
    <w:rsid w:val="005F3D9D"/>
    <w:rsid w:val="005F45E5"/>
    <w:rsid w:val="005F4C60"/>
    <w:rsid w:val="005F4E52"/>
    <w:rsid w:val="005F5360"/>
    <w:rsid w:val="005F5889"/>
    <w:rsid w:val="005F638F"/>
    <w:rsid w:val="005F6F0A"/>
    <w:rsid w:val="00600019"/>
    <w:rsid w:val="006002C3"/>
    <w:rsid w:val="0060058E"/>
    <w:rsid w:val="00600E38"/>
    <w:rsid w:val="00602A3C"/>
    <w:rsid w:val="00603842"/>
    <w:rsid w:val="00604236"/>
    <w:rsid w:val="00604508"/>
    <w:rsid w:val="0060452A"/>
    <w:rsid w:val="00604BE4"/>
    <w:rsid w:val="0060549F"/>
    <w:rsid w:val="00605FB9"/>
    <w:rsid w:val="00606226"/>
    <w:rsid w:val="0060750F"/>
    <w:rsid w:val="0061035A"/>
    <w:rsid w:val="00610FA4"/>
    <w:rsid w:val="0061110D"/>
    <w:rsid w:val="006114AD"/>
    <w:rsid w:val="00611501"/>
    <w:rsid w:val="00611F54"/>
    <w:rsid w:val="00612284"/>
    <w:rsid w:val="006124B7"/>
    <w:rsid w:val="00612CBA"/>
    <w:rsid w:val="00613791"/>
    <w:rsid w:val="00614079"/>
    <w:rsid w:val="00614543"/>
    <w:rsid w:val="006156C3"/>
    <w:rsid w:val="00615C1F"/>
    <w:rsid w:val="00615E13"/>
    <w:rsid w:val="0061692E"/>
    <w:rsid w:val="006176AF"/>
    <w:rsid w:val="00617BE1"/>
    <w:rsid w:val="00617E01"/>
    <w:rsid w:val="00617EEE"/>
    <w:rsid w:val="00620352"/>
    <w:rsid w:val="0062055B"/>
    <w:rsid w:val="006216A2"/>
    <w:rsid w:val="0062267B"/>
    <w:rsid w:val="00623389"/>
    <w:rsid w:val="006247D0"/>
    <w:rsid w:val="00625ACA"/>
    <w:rsid w:val="0062617D"/>
    <w:rsid w:val="006262F2"/>
    <w:rsid w:val="00626852"/>
    <w:rsid w:val="006268E4"/>
    <w:rsid w:val="00626F50"/>
    <w:rsid w:val="0062742B"/>
    <w:rsid w:val="006279FE"/>
    <w:rsid w:val="006308BD"/>
    <w:rsid w:val="00630A51"/>
    <w:rsid w:val="00630BC3"/>
    <w:rsid w:val="00630EE6"/>
    <w:rsid w:val="006330CA"/>
    <w:rsid w:val="006339A9"/>
    <w:rsid w:val="0063413D"/>
    <w:rsid w:val="0063479B"/>
    <w:rsid w:val="006363FA"/>
    <w:rsid w:val="00637CF2"/>
    <w:rsid w:val="006400C6"/>
    <w:rsid w:val="00640D45"/>
    <w:rsid w:val="006417D5"/>
    <w:rsid w:val="00641AF8"/>
    <w:rsid w:val="00642E16"/>
    <w:rsid w:val="00643664"/>
    <w:rsid w:val="00643694"/>
    <w:rsid w:val="00643CAA"/>
    <w:rsid w:val="006459C4"/>
    <w:rsid w:val="00645E6B"/>
    <w:rsid w:val="00647196"/>
    <w:rsid w:val="006477FF"/>
    <w:rsid w:val="00647948"/>
    <w:rsid w:val="00650791"/>
    <w:rsid w:val="0065196D"/>
    <w:rsid w:val="00652C4C"/>
    <w:rsid w:val="00653CDE"/>
    <w:rsid w:val="006546DB"/>
    <w:rsid w:val="00654C11"/>
    <w:rsid w:val="006556AF"/>
    <w:rsid w:val="0065725D"/>
    <w:rsid w:val="00661277"/>
    <w:rsid w:val="00661F62"/>
    <w:rsid w:val="006623D7"/>
    <w:rsid w:val="00663B40"/>
    <w:rsid w:val="00663FEA"/>
    <w:rsid w:val="00664803"/>
    <w:rsid w:val="00664E18"/>
    <w:rsid w:val="00665076"/>
    <w:rsid w:val="00665945"/>
    <w:rsid w:val="00665B3B"/>
    <w:rsid w:val="006660B7"/>
    <w:rsid w:val="00666482"/>
    <w:rsid w:val="00667A58"/>
    <w:rsid w:val="00667EA7"/>
    <w:rsid w:val="006706DF"/>
    <w:rsid w:val="00670F0F"/>
    <w:rsid w:val="00670F71"/>
    <w:rsid w:val="006712BF"/>
    <w:rsid w:val="00672413"/>
    <w:rsid w:val="006732E4"/>
    <w:rsid w:val="006733B4"/>
    <w:rsid w:val="006738C7"/>
    <w:rsid w:val="00674549"/>
    <w:rsid w:val="00674B85"/>
    <w:rsid w:val="00675C17"/>
    <w:rsid w:val="00676A5F"/>
    <w:rsid w:val="006772C9"/>
    <w:rsid w:val="00677641"/>
    <w:rsid w:val="006777FB"/>
    <w:rsid w:val="00677BF4"/>
    <w:rsid w:val="00681116"/>
    <w:rsid w:val="00681DDD"/>
    <w:rsid w:val="0068210B"/>
    <w:rsid w:val="00682F28"/>
    <w:rsid w:val="0068336F"/>
    <w:rsid w:val="00683731"/>
    <w:rsid w:val="00683AD6"/>
    <w:rsid w:val="00684998"/>
    <w:rsid w:val="00684AA8"/>
    <w:rsid w:val="00684BDF"/>
    <w:rsid w:val="0068783B"/>
    <w:rsid w:val="006879E5"/>
    <w:rsid w:val="00690437"/>
    <w:rsid w:val="00690E65"/>
    <w:rsid w:val="00690EAA"/>
    <w:rsid w:val="00691BE3"/>
    <w:rsid w:val="00692AAF"/>
    <w:rsid w:val="00692C83"/>
    <w:rsid w:val="00692F95"/>
    <w:rsid w:val="00693B2E"/>
    <w:rsid w:val="00695421"/>
    <w:rsid w:val="006955AD"/>
    <w:rsid w:val="00697B2B"/>
    <w:rsid w:val="00697DFA"/>
    <w:rsid w:val="00697FED"/>
    <w:rsid w:val="006A0307"/>
    <w:rsid w:val="006A0A00"/>
    <w:rsid w:val="006A1E5E"/>
    <w:rsid w:val="006A273F"/>
    <w:rsid w:val="006A427B"/>
    <w:rsid w:val="006A4BA3"/>
    <w:rsid w:val="006A6012"/>
    <w:rsid w:val="006A771A"/>
    <w:rsid w:val="006A7BE3"/>
    <w:rsid w:val="006B01D1"/>
    <w:rsid w:val="006B05E5"/>
    <w:rsid w:val="006B06E2"/>
    <w:rsid w:val="006B0AE2"/>
    <w:rsid w:val="006B0F39"/>
    <w:rsid w:val="006B15CC"/>
    <w:rsid w:val="006B17DB"/>
    <w:rsid w:val="006B20E8"/>
    <w:rsid w:val="006B20FF"/>
    <w:rsid w:val="006B266D"/>
    <w:rsid w:val="006B27FC"/>
    <w:rsid w:val="006B3493"/>
    <w:rsid w:val="006B3650"/>
    <w:rsid w:val="006B36FB"/>
    <w:rsid w:val="006B4589"/>
    <w:rsid w:val="006B5EFA"/>
    <w:rsid w:val="006B6232"/>
    <w:rsid w:val="006B76A8"/>
    <w:rsid w:val="006B7ABB"/>
    <w:rsid w:val="006C2A70"/>
    <w:rsid w:val="006C3F89"/>
    <w:rsid w:val="006C4B62"/>
    <w:rsid w:val="006C4D59"/>
    <w:rsid w:val="006C4F0E"/>
    <w:rsid w:val="006C5437"/>
    <w:rsid w:val="006C5F01"/>
    <w:rsid w:val="006C6811"/>
    <w:rsid w:val="006C6B00"/>
    <w:rsid w:val="006C7988"/>
    <w:rsid w:val="006C7AED"/>
    <w:rsid w:val="006D06C6"/>
    <w:rsid w:val="006D0962"/>
    <w:rsid w:val="006D0C1D"/>
    <w:rsid w:val="006D1E3C"/>
    <w:rsid w:val="006D3A0B"/>
    <w:rsid w:val="006D3D09"/>
    <w:rsid w:val="006D415B"/>
    <w:rsid w:val="006D5532"/>
    <w:rsid w:val="006D7C85"/>
    <w:rsid w:val="006E0574"/>
    <w:rsid w:val="006E065C"/>
    <w:rsid w:val="006E0788"/>
    <w:rsid w:val="006E2072"/>
    <w:rsid w:val="006E231B"/>
    <w:rsid w:val="006E33D5"/>
    <w:rsid w:val="006E3DD8"/>
    <w:rsid w:val="006E3DFD"/>
    <w:rsid w:val="006E592A"/>
    <w:rsid w:val="006E5DD8"/>
    <w:rsid w:val="006E7CE1"/>
    <w:rsid w:val="006E7E18"/>
    <w:rsid w:val="006F00EF"/>
    <w:rsid w:val="006F276B"/>
    <w:rsid w:val="006F2CD9"/>
    <w:rsid w:val="006F2F2A"/>
    <w:rsid w:val="006F3231"/>
    <w:rsid w:val="006F3DE3"/>
    <w:rsid w:val="006F423B"/>
    <w:rsid w:val="006F47F4"/>
    <w:rsid w:val="006F4BF8"/>
    <w:rsid w:val="006F50D9"/>
    <w:rsid w:val="006F547F"/>
    <w:rsid w:val="006F5A12"/>
    <w:rsid w:val="006F6AD5"/>
    <w:rsid w:val="006F70BC"/>
    <w:rsid w:val="006F7E1F"/>
    <w:rsid w:val="00700E8C"/>
    <w:rsid w:val="00702015"/>
    <w:rsid w:val="0070296A"/>
    <w:rsid w:val="00702A3B"/>
    <w:rsid w:val="0070490E"/>
    <w:rsid w:val="00704A47"/>
    <w:rsid w:val="007063A4"/>
    <w:rsid w:val="00706AA9"/>
    <w:rsid w:val="00707057"/>
    <w:rsid w:val="00707A90"/>
    <w:rsid w:val="00710AEF"/>
    <w:rsid w:val="0071197C"/>
    <w:rsid w:val="00713E12"/>
    <w:rsid w:val="00714576"/>
    <w:rsid w:val="007146C9"/>
    <w:rsid w:val="00714DFD"/>
    <w:rsid w:val="00714F54"/>
    <w:rsid w:val="007157D0"/>
    <w:rsid w:val="00715837"/>
    <w:rsid w:val="00715E6C"/>
    <w:rsid w:val="00716064"/>
    <w:rsid w:val="007179AD"/>
    <w:rsid w:val="007210A7"/>
    <w:rsid w:val="007217A8"/>
    <w:rsid w:val="00721BA3"/>
    <w:rsid w:val="00721F0C"/>
    <w:rsid w:val="00721F4A"/>
    <w:rsid w:val="00722033"/>
    <w:rsid w:val="007229D4"/>
    <w:rsid w:val="00724044"/>
    <w:rsid w:val="0072643F"/>
    <w:rsid w:val="00726C38"/>
    <w:rsid w:val="00726E54"/>
    <w:rsid w:val="007270E5"/>
    <w:rsid w:val="00727306"/>
    <w:rsid w:val="0072791A"/>
    <w:rsid w:val="00727A3F"/>
    <w:rsid w:val="00727C9E"/>
    <w:rsid w:val="00731452"/>
    <w:rsid w:val="00731B09"/>
    <w:rsid w:val="00731D5D"/>
    <w:rsid w:val="007332B8"/>
    <w:rsid w:val="0073357F"/>
    <w:rsid w:val="00733AB7"/>
    <w:rsid w:val="00733FDB"/>
    <w:rsid w:val="007342EC"/>
    <w:rsid w:val="00735826"/>
    <w:rsid w:val="007366F9"/>
    <w:rsid w:val="00737C16"/>
    <w:rsid w:val="007410FE"/>
    <w:rsid w:val="00742445"/>
    <w:rsid w:val="00742A6E"/>
    <w:rsid w:val="007430A1"/>
    <w:rsid w:val="00743360"/>
    <w:rsid w:val="00743818"/>
    <w:rsid w:val="00743C84"/>
    <w:rsid w:val="00744517"/>
    <w:rsid w:val="007450CE"/>
    <w:rsid w:val="00745850"/>
    <w:rsid w:val="00745FDE"/>
    <w:rsid w:val="00746B38"/>
    <w:rsid w:val="0074717B"/>
    <w:rsid w:val="00747D9D"/>
    <w:rsid w:val="00747DE2"/>
    <w:rsid w:val="00750F0D"/>
    <w:rsid w:val="0075185A"/>
    <w:rsid w:val="007524BB"/>
    <w:rsid w:val="007526EC"/>
    <w:rsid w:val="00752805"/>
    <w:rsid w:val="00752B53"/>
    <w:rsid w:val="0075302B"/>
    <w:rsid w:val="00753F15"/>
    <w:rsid w:val="00755813"/>
    <w:rsid w:val="00755B95"/>
    <w:rsid w:val="00755F78"/>
    <w:rsid w:val="00756521"/>
    <w:rsid w:val="00756AB7"/>
    <w:rsid w:val="00756F07"/>
    <w:rsid w:val="007572AB"/>
    <w:rsid w:val="007612EC"/>
    <w:rsid w:val="0076155A"/>
    <w:rsid w:val="00762354"/>
    <w:rsid w:val="007624B3"/>
    <w:rsid w:val="00763189"/>
    <w:rsid w:val="007632F4"/>
    <w:rsid w:val="007648C7"/>
    <w:rsid w:val="00765F93"/>
    <w:rsid w:val="00766B4B"/>
    <w:rsid w:val="00766E4B"/>
    <w:rsid w:val="0076730D"/>
    <w:rsid w:val="007679CE"/>
    <w:rsid w:val="00767D4F"/>
    <w:rsid w:val="00770471"/>
    <w:rsid w:val="00770637"/>
    <w:rsid w:val="00772509"/>
    <w:rsid w:val="007725BD"/>
    <w:rsid w:val="007726A6"/>
    <w:rsid w:val="00772E60"/>
    <w:rsid w:val="00773AA7"/>
    <w:rsid w:val="007743DC"/>
    <w:rsid w:val="007768E5"/>
    <w:rsid w:val="0077693F"/>
    <w:rsid w:val="00776D1F"/>
    <w:rsid w:val="00776F8A"/>
    <w:rsid w:val="007775BA"/>
    <w:rsid w:val="00777BCC"/>
    <w:rsid w:val="0078051E"/>
    <w:rsid w:val="0078064A"/>
    <w:rsid w:val="0078146D"/>
    <w:rsid w:val="00782720"/>
    <w:rsid w:val="0078272E"/>
    <w:rsid w:val="007829D1"/>
    <w:rsid w:val="00782D2F"/>
    <w:rsid w:val="007857E1"/>
    <w:rsid w:val="00785EB7"/>
    <w:rsid w:val="00786709"/>
    <w:rsid w:val="007875D2"/>
    <w:rsid w:val="00790A62"/>
    <w:rsid w:val="00791A26"/>
    <w:rsid w:val="007939D2"/>
    <w:rsid w:val="00794769"/>
    <w:rsid w:val="0079509D"/>
    <w:rsid w:val="007966FC"/>
    <w:rsid w:val="007973EC"/>
    <w:rsid w:val="007A01DD"/>
    <w:rsid w:val="007A0332"/>
    <w:rsid w:val="007A0524"/>
    <w:rsid w:val="007A13D5"/>
    <w:rsid w:val="007A1CE0"/>
    <w:rsid w:val="007A20D1"/>
    <w:rsid w:val="007A30B3"/>
    <w:rsid w:val="007A3B13"/>
    <w:rsid w:val="007A3BAB"/>
    <w:rsid w:val="007A3ED8"/>
    <w:rsid w:val="007A44EB"/>
    <w:rsid w:val="007A4B79"/>
    <w:rsid w:val="007A5A81"/>
    <w:rsid w:val="007A60DF"/>
    <w:rsid w:val="007A7863"/>
    <w:rsid w:val="007A799E"/>
    <w:rsid w:val="007A7FFA"/>
    <w:rsid w:val="007B0297"/>
    <w:rsid w:val="007B06EA"/>
    <w:rsid w:val="007B0B90"/>
    <w:rsid w:val="007B0F12"/>
    <w:rsid w:val="007B191B"/>
    <w:rsid w:val="007B21AE"/>
    <w:rsid w:val="007B25E9"/>
    <w:rsid w:val="007B2BDE"/>
    <w:rsid w:val="007B38CA"/>
    <w:rsid w:val="007B3EA7"/>
    <w:rsid w:val="007B57AF"/>
    <w:rsid w:val="007B6D64"/>
    <w:rsid w:val="007B716A"/>
    <w:rsid w:val="007B7293"/>
    <w:rsid w:val="007B7CA5"/>
    <w:rsid w:val="007C0525"/>
    <w:rsid w:val="007C37FC"/>
    <w:rsid w:val="007C5868"/>
    <w:rsid w:val="007C5F21"/>
    <w:rsid w:val="007C6882"/>
    <w:rsid w:val="007C6937"/>
    <w:rsid w:val="007C6A0F"/>
    <w:rsid w:val="007D10A3"/>
    <w:rsid w:val="007D13A0"/>
    <w:rsid w:val="007D2D81"/>
    <w:rsid w:val="007D3369"/>
    <w:rsid w:val="007D3A63"/>
    <w:rsid w:val="007D5B2C"/>
    <w:rsid w:val="007D5FDC"/>
    <w:rsid w:val="007D75DE"/>
    <w:rsid w:val="007E035A"/>
    <w:rsid w:val="007E0867"/>
    <w:rsid w:val="007E0AB5"/>
    <w:rsid w:val="007E1CC4"/>
    <w:rsid w:val="007E22BA"/>
    <w:rsid w:val="007E34E3"/>
    <w:rsid w:val="007E4147"/>
    <w:rsid w:val="007E474E"/>
    <w:rsid w:val="007E4A9C"/>
    <w:rsid w:val="007E5FB5"/>
    <w:rsid w:val="007E659A"/>
    <w:rsid w:val="007E7DF9"/>
    <w:rsid w:val="007F0730"/>
    <w:rsid w:val="007F1899"/>
    <w:rsid w:val="007F2AA3"/>
    <w:rsid w:val="007F2C25"/>
    <w:rsid w:val="007F7735"/>
    <w:rsid w:val="007F7E4C"/>
    <w:rsid w:val="00800E83"/>
    <w:rsid w:val="0080110C"/>
    <w:rsid w:val="008014FC"/>
    <w:rsid w:val="00801D47"/>
    <w:rsid w:val="00803030"/>
    <w:rsid w:val="00803F25"/>
    <w:rsid w:val="008041E4"/>
    <w:rsid w:val="008052F5"/>
    <w:rsid w:val="008055A9"/>
    <w:rsid w:val="00807DDB"/>
    <w:rsid w:val="00810E8E"/>
    <w:rsid w:val="008124BF"/>
    <w:rsid w:val="008124D0"/>
    <w:rsid w:val="00813CB1"/>
    <w:rsid w:val="008152C0"/>
    <w:rsid w:val="008154B3"/>
    <w:rsid w:val="00816625"/>
    <w:rsid w:val="008173AF"/>
    <w:rsid w:val="00820CFE"/>
    <w:rsid w:val="00820E9E"/>
    <w:rsid w:val="00820F5F"/>
    <w:rsid w:val="008216AC"/>
    <w:rsid w:val="00821B22"/>
    <w:rsid w:val="00821CAD"/>
    <w:rsid w:val="00822C60"/>
    <w:rsid w:val="00823635"/>
    <w:rsid w:val="00824079"/>
    <w:rsid w:val="008266CE"/>
    <w:rsid w:val="00826AB9"/>
    <w:rsid w:val="00827AE7"/>
    <w:rsid w:val="00827CA8"/>
    <w:rsid w:val="00827E0F"/>
    <w:rsid w:val="00830246"/>
    <w:rsid w:val="00830EC5"/>
    <w:rsid w:val="008325B9"/>
    <w:rsid w:val="0083279F"/>
    <w:rsid w:val="00832B9C"/>
    <w:rsid w:val="00832EC6"/>
    <w:rsid w:val="00833B7F"/>
    <w:rsid w:val="0083524E"/>
    <w:rsid w:val="00835292"/>
    <w:rsid w:val="00835897"/>
    <w:rsid w:val="00835E01"/>
    <w:rsid w:val="008373B7"/>
    <w:rsid w:val="0084169E"/>
    <w:rsid w:val="00841B45"/>
    <w:rsid w:val="008430C0"/>
    <w:rsid w:val="00843523"/>
    <w:rsid w:val="00843F81"/>
    <w:rsid w:val="008462C9"/>
    <w:rsid w:val="0084655D"/>
    <w:rsid w:val="0084675A"/>
    <w:rsid w:val="00847BFA"/>
    <w:rsid w:val="00847DE9"/>
    <w:rsid w:val="008525CD"/>
    <w:rsid w:val="00852E1B"/>
    <w:rsid w:val="00852F21"/>
    <w:rsid w:val="00853BF4"/>
    <w:rsid w:val="0085468C"/>
    <w:rsid w:val="00856D91"/>
    <w:rsid w:val="0085709B"/>
    <w:rsid w:val="008577FF"/>
    <w:rsid w:val="00857DE2"/>
    <w:rsid w:val="00860A1F"/>
    <w:rsid w:val="00860D0D"/>
    <w:rsid w:val="008614B2"/>
    <w:rsid w:val="008641A0"/>
    <w:rsid w:val="00864AEB"/>
    <w:rsid w:val="00864E79"/>
    <w:rsid w:val="0086560B"/>
    <w:rsid w:val="00865F20"/>
    <w:rsid w:val="00866A0D"/>
    <w:rsid w:val="00866B82"/>
    <w:rsid w:val="00866F6C"/>
    <w:rsid w:val="00867685"/>
    <w:rsid w:val="00870582"/>
    <w:rsid w:val="00871AF8"/>
    <w:rsid w:val="00872A32"/>
    <w:rsid w:val="00872B79"/>
    <w:rsid w:val="008732D7"/>
    <w:rsid w:val="00873EFD"/>
    <w:rsid w:val="008747F1"/>
    <w:rsid w:val="00875FC8"/>
    <w:rsid w:val="00876B58"/>
    <w:rsid w:val="00876C31"/>
    <w:rsid w:val="00880E88"/>
    <w:rsid w:val="00880F7D"/>
    <w:rsid w:val="008814AF"/>
    <w:rsid w:val="008816DC"/>
    <w:rsid w:val="00882661"/>
    <w:rsid w:val="00882B44"/>
    <w:rsid w:val="00883164"/>
    <w:rsid w:val="00883C8C"/>
    <w:rsid w:val="008842A6"/>
    <w:rsid w:val="00884344"/>
    <w:rsid w:val="00884F13"/>
    <w:rsid w:val="008856D0"/>
    <w:rsid w:val="008856F8"/>
    <w:rsid w:val="00886063"/>
    <w:rsid w:val="008871B0"/>
    <w:rsid w:val="00887BF8"/>
    <w:rsid w:val="00890316"/>
    <w:rsid w:val="0089253D"/>
    <w:rsid w:val="0089289F"/>
    <w:rsid w:val="00894211"/>
    <w:rsid w:val="00895EAD"/>
    <w:rsid w:val="00896351"/>
    <w:rsid w:val="008A0273"/>
    <w:rsid w:val="008A0CB2"/>
    <w:rsid w:val="008A0FC9"/>
    <w:rsid w:val="008A1617"/>
    <w:rsid w:val="008A19A1"/>
    <w:rsid w:val="008A1A06"/>
    <w:rsid w:val="008A21E6"/>
    <w:rsid w:val="008A234C"/>
    <w:rsid w:val="008A2639"/>
    <w:rsid w:val="008A2DA3"/>
    <w:rsid w:val="008A3C91"/>
    <w:rsid w:val="008A4012"/>
    <w:rsid w:val="008A40D3"/>
    <w:rsid w:val="008A40F2"/>
    <w:rsid w:val="008A4474"/>
    <w:rsid w:val="008A4E09"/>
    <w:rsid w:val="008A5C1D"/>
    <w:rsid w:val="008A60F8"/>
    <w:rsid w:val="008A6BCC"/>
    <w:rsid w:val="008A7B7C"/>
    <w:rsid w:val="008B0FB3"/>
    <w:rsid w:val="008B18AA"/>
    <w:rsid w:val="008B1E76"/>
    <w:rsid w:val="008B212B"/>
    <w:rsid w:val="008B2234"/>
    <w:rsid w:val="008B25FB"/>
    <w:rsid w:val="008B2E7C"/>
    <w:rsid w:val="008B3C41"/>
    <w:rsid w:val="008B3D25"/>
    <w:rsid w:val="008B3E29"/>
    <w:rsid w:val="008B3ED5"/>
    <w:rsid w:val="008B56B7"/>
    <w:rsid w:val="008B7750"/>
    <w:rsid w:val="008B784D"/>
    <w:rsid w:val="008C13AA"/>
    <w:rsid w:val="008C1CD2"/>
    <w:rsid w:val="008C1DA4"/>
    <w:rsid w:val="008C28CC"/>
    <w:rsid w:val="008C2CD5"/>
    <w:rsid w:val="008C3618"/>
    <w:rsid w:val="008C4771"/>
    <w:rsid w:val="008C4C0B"/>
    <w:rsid w:val="008C5576"/>
    <w:rsid w:val="008C731F"/>
    <w:rsid w:val="008C7477"/>
    <w:rsid w:val="008D0048"/>
    <w:rsid w:val="008D14A1"/>
    <w:rsid w:val="008D14C3"/>
    <w:rsid w:val="008D1C7F"/>
    <w:rsid w:val="008D1E23"/>
    <w:rsid w:val="008D1EEA"/>
    <w:rsid w:val="008D309E"/>
    <w:rsid w:val="008D3902"/>
    <w:rsid w:val="008D51D2"/>
    <w:rsid w:val="008D7155"/>
    <w:rsid w:val="008E0D3E"/>
    <w:rsid w:val="008E0FF9"/>
    <w:rsid w:val="008E2018"/>
    <w:rsid w:val="008E2896"/>
    <w:rsid w:val="008E3674"/>
    <w:rsid w:val="008E3825"/>
    <w:rsid w:val="008E3DC5"/>
    <w:rsid w:val="008E4BFC"/>
    <w:rsid w:val="008E5F03"/>
    <w:rsid w:val="008E6687"/>
    <w:rsid w:val="008E6792"/>
    <w:rsid w:val="008E6D1D"/>
    <w:rsid w:val="008E7F48"/>
    <w:rsid w:val="008F06D3"/>
    <w:rsid w:val="008F1250"/>
    <w:rsid w:val="008F154F"/>
    <w:rsid w:val="008F15C3"/>
    <w:rsid w:val="008F1EC2"/>
    <w:rsid w:val="008F2F3D"/>
    <w:rsid w:val="008F2FFA"/>
    <w:rsid w:val="008F3387"/>
    <w:rsid w:val="008F447F"/>
    <w:rsid w:val="008F5C6A"/>
    <w:rsid w:val="008F5E72"/>
    <w:rsid w:val="008F6011"/>
    <w:rsid w:val="008F69B8"/>
    <w:rsid w:val="008F6A84"/>
    <w:rsid w:val="008F7C2E"/>
    <w:rsid w:val="008F7DFB"/>
    <w:rsid w:val="008F7FF0"/>
    <w:rsid w:val="00900497"/>
    <w:rsid w:val="00901554"/>
    <w:rsid w:val="0090198F"/>
    <w:rsid w:val="00901BBB"/>
    <w:rsid w:val="009027F2"/>
    <w:rsid w:val="0090288E"/>
    <w:rsid w:val="00902EE1"/>
    <w:rsid w:val="00903C61"/>
    <w:rsid w:val="00905B4D"/>
    <w:rsid w:val="00905D7E"/>
    <w:rsid w:val="00906215"/>
    <w:rsid w:val="00907244"/>
    <w:rsid w:val="00907426"/>
    <w:rsid w:val="0090749D"/>
    <w:rsid w:val="00907C46"/>
    <w:rsid w:val="0091065A"/>
    <w:rsid w:val="00910E89"/>
    <w:rsid w:val="0091104F"/>
    <w:rsid w:val="009113E8"/>
    <w:rsid w:val="009132D2"/>
    <w:rsid w:val="009134FC"/>
    <w:rsid w:val="00913532"/>
    <w:rsid w:val="00914186"/>
    <w:rsid w:val="00914329"/>
    <w:rsid w:val="0091485C"/>
    <w:rsid w:val="009156DA"/>
    <w:rsid w:val="00915962"/>
    <w:rsid w:val="009166B1"/>
    <w:rsid w:val="00917412"/>
    <w:rsid w:val="00920184"/>
    <w:rsid w:val="00920823"/>
    <w:rsid w:val="00920EA4"/>
    <w:rsid w:val="0092150B"/>
    <w:rsid w:val="00922093"/>
    <w:rsid w:val="00922303"/>
    <w:rsid w:val="0092516D"/>
    <w:rsid w:val="009266EA"/>
    <w:rsid w:val="0092674D"/>
    <w:rsid w:val="00927B37"/>
    <w:rsid w:val="00927B94"/>
    <w:rsid w:val="009309CC"/>
    <w:rsid w:val="00932155"/>
    <w:rsid w:val="00932BB6"/>
    <w:rsid w:val="009330E5"/>
    <w:rsid w:val="009336B2"/>
    <w:rsid w:val="00933981"/>
    <w:rsid w:val="00934DD7"/>
    <w:rsid w:val="00935EA0"/>
    <w:rsid w:val="00936E27"/>
    <w:rsid w:val="00937E1C"/>
    <w:rsid w:val="00937FC3"/>
    <w:rsid w:val="00941D95"/>
    <w:rsid w:val="00942306"/>
    <w:rsid w:val="00942397"/>
    <w:rsid w:val="00942755"/>
    <w:rsid w:val="00942A33"/>
    <w:rsid w:val="00943FFC"/>
    <w:rsid w:val="009444BA"/>
    <w:rsid w:val="00945225"/>
    <w:rsid w:val="009454F3"/>
    <w:rsid w:val="009458B0"/>
    <w:rsid w:val="00947424"/>
    <w:rsid w:val="009478A2"/>
    <w:rsid w:val="00950884"/>
    <w:rsid w:val="00951C0E"/>
    <w:rsid w:val="00951CC1"/>
    <w:rsid w:val="00951DBF"/>
    <w:rsid w:val="00952D82"/>
    <w:rsid w:val="0095308D"/>
    <w:rsid w:val="00953276"/>
    <w:rsid w:val="00953365"/>
    <w:rsid w:val="00954104"/>
    <w:rsid w:val="00954859"/>
    <w:rsid w:val="00954AE1"/>
    <w:rsid w:val="0095543A"/>
    <w:rsid w:val="00955FBB"/>
    <w:rsid w:val="0095636B"/>
    <w:rsid w:val="00956585"/>
    <w:rsid w:val="00956935"/>
    <w:rsid w:val="00956A66"/>
    <w:rsid w:val="00956BD5"/>
    <w:rsid w:val="009570EE"/>
    <w:rsid w:val="00957312"/>
    <w:rsid w:val="00957494"/>
    <w:rsid w:val="009577B5"/>
    <w:rsid w:val="00957B98"/>
    <w:rsid w:val="00957BC7"/>
    <w:rsid w:val="00957BDB"/>
    <w:rsid w:val="0096120A"/>
    <w:rsid w:val="0096269B"/>
    <w:rsid w:val="00962A94"/>
    <w:rsid w:val="00962B7E"/>
    <w:rsid w:val="0096302D"/>
    <w:rsid w:val="00963255"/>
    <w:rsid w:val="00964199"/>
    <w:rsid w:val="009653B6"/>
    <w:rsid w:val="00965A0B"/>
    <w:rsid w:val="00966253"/>
    <w:rsid w:val="00966522"/>
    <w:rsid w:val="0096673C"/>
    <w:rsid w:val="00967329"/>
    <w:rsid w:val="00970390"/>
    <w:rsid w:val="00970FFF"/>
    <w:rsid w:val="00971CF1"/>
    <w:rsid w:val="009723B8"/>
    <w:rsid w:val="009735B0"/>
    <w:rsid w:val="0097362A"/>
    <w:rsid w:val="009749DD"/>
    <w:rsid w:val="0097520B"/>
    <w:rsid w:val="00975CA3"/>
    <w:rsid w:val="009771A9"/>
    <w:rsid w:val="0097723F"/>
    <w:rsid w:val="009773B1"/>
    <w:rsid w:val="009773F4"/>
    <w:rsid w:val="00977BCD"/>
    <w:rsid w:val="009806B5"/>
    <w:rsid w:val="00980729"/>
    <w:rsid w:val="00980777"/>
    <w:rsid w:val="00980C1B"/>
    <w:rsid w:val="009819B7"/>
    <w:rsid w:val="009833E9"/>
    <w:rsid w:val="00983A11"/>
    <w:rsid w:val="00983E22"/>
    <w:rsid w:val="0098534E"/>
    <w:rsid w:val="00985C3D"/>
    <w:rsid w:val="009860DA"/>
    <w:rsid w:val="00990225"/>
    <w:rsid w:val="009910F5"/>
    <w:rsid w:val="00992156"/>
    <w:rsid w:val="00992626"/>
    <w:rsid w:val="00992892"/>
    <w:rsid w:val="009934DA"/>
    <w:rsid w:val="00993610"/>
    <w:rsid w:val="0099495D"/>
    <w:rsid w:val="00995D67"/>
    <w:rsid w:val="00996668"/>
    <w:rsid w:val="009A0002"/>
    <w:rsid w:val="009A1266"/>
    <w:rsid w:val="009A1AD6"/>
    <w:rsid w:val="009A25B6"/>
    <w:rsid w:val="009A303A"/>
    <w:rsid w:val="009A35B2"/>
    <w:rsid w:val="009A53AF"/>
    <w:rsid w:val="009A59B0"/>
    <w:rsid w:val="009A6559"/>
    <w:rsid w:val="009A6C49"/>
    <w:rsid w:val="009B0A86"/>
    <w:rsid w:val="009B1528"/>
    <w:rsid w:val="009B1C2B"/>
    <w:rsid w:val="009B20F5"/>
    <w:rsid w:val="009B21F6"/>
    <w:rsid w:val="009B2890"/>
    <w:rsid w:val="009B2D79"/>
    <w:rsid w:val="009B2F9B"/>
    <w:rsid w:val="009B3647"/>
    <w:rsid w:val="009B4A6C"/>
    <w:rsid w:val="009B76F4"/>
    <w:rsid w:val="009B77EA"/>
    <w:rsid w:val="009B7A30"/>
    <w:rsid w:val="009C01A4"/>
    <w:rsid w:val="009C05A5"/>
    <w:rsid w:val="009C0710"/>
    <w:rsid w:val="009C1A29"/>
    <w:rsid w:val="009C232C"/>
    <w:rsid w:val="009C248C"/>
    <w:rsid w:val="009C36FF"/>
    <w:rsid w:val="009C48FD"/>
    <w:rsid w:val="009C6322"/>
    <w:rsid w:val="009C64A2"/>
    <w:rsid w:val="009C6B3C"/>
    <w:rsid w:val="009C6CE5"/>
    <w:rsid w:val="009C6D50"/>
    <w:rsid w:val="009C6EB1"/>
    <w:rsid w:val="009C7694"/>
    <w:rsid w:val="009C7B52"/>
    <w:rsid w:val="009D09FF"/>
    <w:rsid w:val="009D2F60"/>
    <w:rsid w:val="009D526D"/>
    <w:rsid w:val="009D6AEC"/>
    <w:rsid w:val="009D6DD9"/>
    <w:rsid w:val="009D7321"/>
    <w:rsid w:val="009D77B3"/>
    <w:rsid w:val="009D7E6A"/>
    <w:rsid w:val="009D7FA1"/>
    <w:rsid w:val="009E07F3"/>
    <w:rsid w:val="009E09F6"/>
    <w:rsid w:val="009E0C5F"/>
    <w:rsid w:val="009E0F2F"/>
    <w:rsid w:val="009E15F2"/>
    <w:rsid w:val="009E1D89"/>
    <w:rsid w:val="009E41BC"/>
    <w:rsid w:val="009E444E"/>
    <w:rsid w:val="009E4857"/>
    <w:rsid w:val="009E4CD1"/>
    <w:rsid w:val="009E51E6"/>
    <w:rsid w:val="009E693D"/>
    <w:rsid w:val="009F18B8"/>
    <w:rsid w:val="009F19DD"/>
    <w:rsid w:val="009F1A79"/>
    <w:rsid w:val="009F4B60"/>
    <w:rsid w:val="009F4F7E"/>
    <w:rsid w:val="009F5C68"/>
    <w:rsid w:val="009F65F4"/>
    <w:rsid w:val="009F676B"/>
    <w:rsid w:val="009F69AF"/>
    <w:rsid w:val="009F7A77"/>
    <w:rsid w:val="009F7D7E"/>
    <w:rsid w:val="00A01145"/>
    <w:rsid w:val="00A01B03"/>
    <w:rsid w:val="00A02169"/>
    <w:rsid w:val="00A02C66"/>
    <w:rsid w:val="00A03699"/>
    <w:rsid w:val="00A0464C"/>
    <w:rsid w:val="00A04E0A"/>
    <w:rsid w:val="00A054E0"/>
    <w:rsid w:val="00A07859"/>
    <w:rsid w:val="00A10575"/>
    <w:rsid w:val="00A1059E"/>
    <w:rsid w:val="00A10AC5"/>
    <w:rsid w:val="00A11042"/>
    <w:rsid w:val="00A116F8"/>
    <w:rsid w:val="00A133D8"/>
    <w:rsid w:val="00A15633"/>
    <w:rsid w:val="00A161CE"/>
    <w:rsid w:val="00A16DBD"/>
    <w:rsid w:val="00A17C6A"/>
    <w:rsid w:val="00A2220B"/>
    <w:rsid w:val="00A23EB0"/>
    <w:rsid w:val="00A246D9"/>
    <w:rsid w:val="00A2583B"/>
    <w:rsid w:val="00A259F6"/>
    <w:rsid w:val="00A25C12"/>
    <w:rsid w:val="00A260B2"/>
    <w:rsid w:val="00A26525"/>
    <w:rsid w:val="00A266E0"/>
    <w:rsid w:val="00A269F6"/>
    <w:rsid w:val="00A27F97"/>
    <w:rsid w:val="00A309F9"/>
    <w:rsid w:val="00A30DE6"/>
    <w:rsid w:val="00A30F8D"/>
    <w:rsid w:val="00A3467F"/>
    <w:rsid w:val="00A347EA"/>
    <w:rsid w:val="00A35222"/>
    <w:rsid w:val="00A3532F"/>
    <w:rsid w:val="00A36B43"/>
    <w:rsid w:val="00A37F8E"/>
    <w:rsid w:val="00A40BB3"/>
    <w:rsid w:val="00A41098"/>
    <w:rsid w:val="00A4177F"/>
    <w:rsid w:val="00A41B40"/>
    <w:rsid w:val="00A41BD9"/>
    <w:rsid w:val="00A41E92"/>
    <w:rsid w:val="00A42105"/>
    <w:rsid w:val="00A42820"/>
    <w:rsid w:val="00A42BDF"/>
    <w:rsid w:val="00A43237"/>
    <w:rsid w:val="00A44562"/>
    <w:rsid w:val="00A46B90"/>
    <w:rsid w:val="00A47ECC"/>
    <w:rsid w:val="00A47FD7"/>
    <w:rsid w:val="00A50171"/>
    <w:rsid w:val="00A50CF6"/>
    <w:rsid w:val="00A5102E"/>
    <w:rsid w:val="00A5193D"/>
    <w:rsid w:val="00A51E08"/>
    <w:rsid w:val="00A5222B"/>
    <w:rsid w:val="00A52282"/>
    <w:rsid w:val="00A52B3D"/>
    <w:rsid w:val="00A53275"/>
    <w:rsid w:val="00A5414B"/>
    <w:rsid w:val="00A54C65"/>
    <w:rsid w:val="00A55635"/>
    <w:rsid w:val="00A56228"/>
    <w:rsid w:val="00A575B8"/>
    <w:rsid w:val="00A576C8"/>
    <w:rsid w:val="00A6047A"/>
    <w:rsid w:val="00A62774"/>
    <w:rsid w:val="00A62E40"/>
    <w:rsid w:val="00A6335E"/>
    <w:rsid w:val="00A635D3"/>
    <w:rsid w:val="00A6451C"/>
    <w:rsid w:val="00A647B1"/>
    <w:rsid w:val="00A6499A"/>
    <w:rsid w:val="00A658A8"/>
    <w:rsid w:val="00A65D5E"/>
    <w:rsid w:val="00A65DE8"/>
    <w:rsid w:val="00A6606B"/>
    <w:rsid w:val="00A66824"/>
    <w:rsid w:val="00A70216"/>
    <w:rsid w:val="00A70FDB"/>
    <w:rsid w:val="00A71E7C"/>
    <w:rsid w:val="00A72BC3"/>
    <w:rsid w:val="00A72FC1"/>
    <w:rsid w:val="00A73103"/>
    <w:rsid w:val="00A736F5"/>
    <w:rsid w:val="00A739A6"/>
    <w:rsid w:val="00A73BEB"/>
    <w:rsid w:val="00A7460B"/>
    <w:rsid w:val="00A7516B"/>
    <w:rsid w:val="00A75FE0"/>
    <w:rsid w:val="00A809E7"/>
    <w:rsid w:val="00A828C9"/>
    <w:rsid w:val="00A82F56"/>
    <w:rsid w:val="00A82FE9"/>
    <w:rsid w:val="00A83E44"/>
    <w:rsid w:val="00A8435C"/>
    <w:rsid w:val="00A8558A"/>
    <w:rsid w:val="00A86722"/>
    <w:rsid w:val="00A878B5"/>
    <w:rsid w:val="00A90F5E"/>
    <w:rsid w:val="00A910AD"/>
    <w:rsid w:val="00A92155"/>
    <w:rsid w:val="00A9246D"/>
    <w:rsid w:val="00A924F9"/>
    <w:rsid w:val="00A92798"/>
    <w:rsid w:val="00A92938"/>
    <w:rsid w:val="00A92E51"/>
    <w:rsid w:val="00A9356C"/>
    <w:rsid w:val="00A940D3"/>
    <w:rsid w:val="00A96EFB"/>
    <w:rsid w:val="00A973A0"/>
    <w:rsid w:val="00AA127A"/>
    <w:rsid w:val="00AA21A2"/>
    <w:rsid w:val="00AA21FD"/>
    <w:rsid w:val="00AA2B5C"/>
    <w:rsid w:val="00AA2F64"/>
    <w:rsid w:val="00AA313A"/>
    <w:rsid w:val="00AA318C"/>
    <w:rsid w:val="00AA3879"/>
    <w:rsid w:val="00AA3A3B"/>
    <w:rsid w:val="00AA4113"/>
    <w:rsid w:val="00AA577F"/>
    <w:rsid w:val="00AA5974"/>
    <w:rsid w:val="00AA6328"/>
    <w:rsid w:val="00AA6D99"/>
    <w:rsid w:val="00AA73DA"/>
    <w:rsid w:val="00AA7A04"/>
    <w:rsid w:val="00AB010E"/>
    <w:rsid w:val="00AB03FD"/>
    <w:rsid w:val="00AB0880"/>
    <w:rsid w:val="00AB0C4A"/>
    <w:rsid w:val="00AB1375"/>
    <w:rsid w:val="00AB158B"/>
    <w:rsid w:val="00AB270B"/>
    <w:rsid w:val="00AB29B4"/>
    <w:rsid w:val="00AB2E24"/>
    <w:rsid w:val="00AB38CB"/>
    <w:rsid w:val="00AB3D76"/>
    <w:rsid w:val="00AB4160"/>
    <w:rsid w:val="00AB46FF"/>
    <w:rsid w:val="00AB524D"/>
    <w:rsid w:val="00AB563E"/>
    <w:rsid w:val="00AB577E"/>
    <w:rsid w:val="00AB67EB"/>
    <w:rsid w:val="00AB6E8A"/>
    <w:rsid w:val="00AB6EE0"/>
    <w:rsid w:val="00AC008D"/>
    <w:rsid w:val="00AC0213"/>
    <w:rsid w:val="00AC0C3C"/>
    <w:rsid w:val="00AC2478"/>
    <w:rsid w:val="00AC2758"/>
    <w:rsid w:val="00AC27E0"/>
    <w:rsid w:val="00AC2884"/>
    <w:rsid w:val="00AC4725"/>
    <w:rsid w:val="00AC4C84"/>
    <w:rsid w:val="00AC5E33"/>
    <w:rsid w:val="00AC5F41"/>
    <w:rsid w:val="00AC6060"/>
    <w:rsid w:val="00AC661D"/>
    <w:rsid w:val="00AC6CA4"/>
    <w:rsid w:val="00AC7A97"/>
    <w:rsid w:val="00AC7C30"/>
    <w:rsid w:val="00AD0AD8"/>
    <w:rsid w:val="00AD0AEB"/>
    <w:rsid w:val="00AD12A9"/>
    <w:rsid w:val="00AD33A0"/>
    <w:rsid w:val="00AD4467"/>
    <w:rsid w:val="00AD58C1"/>
    <w:rsid w:val="00AD6175"/>
    <w:rsid w:val="00AD6206"/>
    <w:rsid w:val="00AD6372"/>
    <w:rsid w:val="00AD69CC"/>
    <w:rsid w:val="00AD6EE9"/>
    <w:rsid w:val="00AD78C5"/>
    <w:rsid w:val="00AE123A"/>
    <w:rsid w:val="00AE145A"/>
    <w:rsid w:val="00AE17E5"/>
    <w:rsid w:val="00AE2535"/>
    <w:rsid w:val="00AE284F"/>
    <w:rsid w:val="00AE2BBF"/>
    <w:rsid w:val="00AE33A6"/>
    <w:rsid w:val="00AE3AA1"/>
    <w:rsid w:val="00AE3B97"/>
    <w:rsid w:val="00AE3EDC"/>
    <w:rsid w:val="00AE41DE"/>
    <w:rsid w:val="00AE4593"/>
    <w:rsid w:val="00AE6B0E"/>
    <w:rsid w:val="00AF01C7"/>
    <w:rsid w:val="00AF2241"/>
    <w:rsid w:val="00AF2884"/>
    <w:rsid w:val="00AF2AC3"/>
    <w:rsid w:val="00AF37E3"/>
    <w:rsid w:val="00AF38FD"/>
    <w:rsid w:val="00AF3ADA"/>
    <w:rsid w:val="00AF45DB"/>
    <w:rsid w:val="00AF4DCC"/>
    <w:rsid w:val="00AF718F"/>
    <w:rsid w:val="00AF78B9"/>
    <w:rsid w:val="00AF7941"/>
    <w:rsid w:val="00B00021"/>
    <w:rsid w:val="00B012FD"/>
    <w:rsid w:val="00B02365"/>
    <w:rsid w:val="00B024C5"/>
    <w:rsid w:val="00B02C1E"/>
    <w:rsid w:val="00B02F60"/>
    <w:rsid w:val="00B037A4"/>
    <w:rsid w:val="00B0440E"/>
    <w:rsid w:val="00B05BE8"/>
    <w:rsid w:val="00B06A0F"/>
    <w:rsid w:val="00B07367"/>
    <w:rsid w:val="00B073FE"/>
    <w:rsid w:val="00B07953"/>
    <w:rsid w:val="00B07A77"/>
    <w:rsid w:val="00B10050"/>
    <w:rsid w:val="00B10AE1"/>
    <w:rsid w:val="00B10C65"/>
    <w:rsid w:val="00B10D62"/>
    <w:rsid w:val="00B10F5A"/>
    <w:rsid w:val="00B115E6"/>
    <w:rsid w:val="00B129EA"/>
    <w:rsid w:val="00B1364A"/>
    <w:rsid w:val="00B1402B"/>
    <w:rsid w:val="00B1646B"/>
    <w:rsid w:val="00B16B0F"/>
    <w:rsid w:val="00B16E75"/>
    <w:rsid w:val="00B17220"/>
    <w:rsid w:val="00B1768D"/>
    <w:rsid w:val="00B178DD"/>
    <w:rsid w:val="00B2010E"/>
    <w:rsid w:val="00B20322"/>
    <w:rsid w:val="00B20BA1"/>
    <w:rsid w:val="00B20C7C"/>
    <w:rsid w:val="00B20F18"/>
    <w:rsid w:val="00B21486"/>
    <w:rsid w:val="00B21849"/>
    <w:rsid w:val="00B22D3D"/>
    <w:rsid w:val="00B23239"/>
    <w:rsid w:val="00B23738"/>
    <w:rsid w:val="00B23748"/>
    <w:rsid w:val="00B2468C"/>
    <w:rsid w:val="00B25EE6"/>
    <w:rsid w:val="00B2631F"/>
    <w:rsid w:val="00B26C54"/>
    <w:rsid w:val="00B324F2"/>
    <w:rsid w:val="00B32BED"/>
    <w:rsid w:val="00B3375F"/>
    <w:rsid w:val="00B3469C"/>
    <w:rsid w:val="00B348D7"/>
    <w:rsid w:val="00B35BF1"/>
    <w:rsid w:val="00B35C76"/>
    <w:rsid w:val="00B36AB9"/>
    <w:rsid w:val="00B41725"/>
    <w:rsid w:val="00B4313A"/>
    <w:rsid w:val="00B43D45"/>
    <w:rsid w:val="00B446DC"/>
    <w:rsid w:val="00B44779"/>
    <w:rsid w:val="00B44B64"/>
    <w:rsid w:val="00B46972"/>
    <w:rsid w:val="00B4784C"/>
    <w:rsid w:val="00B50234"/>
    <w:rsid w:val="00B50505"/>
    <w:rsid w:val="00B507C7"/>
    <w:rsid w:val="00B50CA4"/>
    <w:rsid w:val="00B517A6"/>
    <w:rsid w:val="00B52C68"/>
    <w:rsid w:val="00B5462E"/>
    <w:rsid w:val="00B561DB"/>
    <w:rsid w:val="00B56F25"/>
    <w:rsid w:val="00B571DD"/>
    <w:rsid w:val="00B57CB1"/>
    <w:rsid w:val="00B6420C"/>
    <w:rsid w:val="00B64518"/>
    <w:rsid w:val="00B665D4"/>
    <w:rsid w:val="00B66FE5"/>
    <w:rsid w:val="00B70076"/>
    <w:rsid w:val="00B709E9"/>
    <w:rsid w:val="00B70AE9"/>
    <w:rsid w:val="00B70ED1"/>
    <w:rsid w:val="00B71051"/>
    <w:rsid w:val="00B71847"/>
    <w:rsid w:val="00B72518"/>
    <w:rsid w:val="00B7277C"/>
    <w:rsid w:val="00B73421"/>
    <w:rsid w:val="00B73BA1"/>
    <w:rsid w:val="00B7424A"/>
    <w:rsid w:val="00B74C4E"/>
    <w:rsid w:val="00B74FB1"/>
    <w:rsid w:val="00B7562B"/>
    <w:rsid w:val="00B7626A"/>
    <w:rsid w:val="00B76D1D"/>
    <w:rsid w:val="00B76E7A"/>
    <w:rsid w:val="00B77396"/>
    <w:rsid w:val="00B7768F"/>
    <w:rsid w:val="00B77E47"/>
    <w:rsid w:val="00B80270"/>
    <w:rsid w:val="00B804F4"/>
    <w:rsid w:val="00B813B0"/>
    <w:rsid w:val="00B81430"/>
    <w:rsid w:val="00B82792"/>
    <w:rsid w:val="00B82FCC"/>
    <w:rsid w:val="00B839DE"/>
    <w:rsid w:val="00B8562A"/>
    <w:rsid w:val="00B85802"/>
    <w:rsid w:val="00B873F5"/>
    <w:rsid w:val="00B87989"/>
    <w:rsid w:val="00B87C50"/>
    <w:rsid w:val="00B87E0E"/>
    <w:rsid w:val="00B913E4"/>
    <w:rsid w:val="00B91F99"/>
    <w:rsid w:val="00B934C6"/>
    <w:rsid w:val="00B9407C"/>
    <w:rsid w:val="00B94392"/>
    <w:rsid w:val="00B96645"/>
    <w:rsid w:val="00B9691C"/>
    <w:rsid w:val="00B97AB9"/>
    <w:rsid w:val="00BA1440"/>
    <w:rsid w:val="00BA21C8"/>
    <w:rsid w:val="00BA29FF"/>
    <w:rsid w:val="00BA3984"/>
    <w:rsid w:val="00BA3EC7"/>
    <w:rsid w:val="00BA478B"/>
    <w:rsid w:val="00BA4A55"/>
    <w:rsid w:val="00BA4EDA"/>
    <w:rsid w:val="00BA5EEF"/>
    <w:rsid w:val="00BA5F15"/>
    <w:rsid w:val="00BA5FF0"/>
    <w:rsid w:val="00BA66EF"/>
    <w:rsid w:val="00BA6CEA"/>
    <w:rsid w:val="00BB0B03"/>
    <w:rsid w:val="00BB128B"/>
    <w:rsid w:val="00BB26D0"/>
    <w:rsid w:val="00BB2BE0"/>
    <w:rsid w:val="00BB34C3"/>
    <w:rsid w:val="00BB395D"/>
    <w:rsid w:val="00BB41E5"/>
    <w:rsid w:val="00BB485B"/>
    <w:rsid w:val="00BB5396"/>
    <w:rsid w:val="00BB6749"/>
    <w:rsid w:val="00BB6EFC"/>
    <w:rsid w:val="00BB7058"/>
    <w:rsid w:val="00BB7742"/>
    <w:rsid w:val="00BC0527"/>
    <w:rsid w:val="00BC0831"/>
    <w:rsid w:val="00BC1718"/>
    <w:rsid w:val="00BC1ABB"/>
    <w:rsid w:val="00BC2612"/>
    <w:rsid w:val="00BC2B96"/>
    <w:rsid w:val="00BC383C"/>
    <w:rsid w:val="00BC3A12"/>
    <w:rsid w:val="00BC4897"/>
    <w:rsid w:val="00BC50BA"/>
    <w:rsid w:val="00BC6E73"/>
    <w:rsid w:val="00BD0319"/>
    <w:rsid w:val="00BD03FD"/>
    <w:rsid w:val="00BD05AD"/>
    <w:rsid w:val="00BD1AEE"/>
    <w:rsid w:val="00BD5134"/>
    <w:rsid w:val="00BD5C03"/>
    <w:rsid w:val="00BD5C5D"/>
    <w:rsid w:val="00BD65C6"/>
    <w:rsid w:val="00BD6A8E"/>
    <w:rsid w:val="00BD6EF9"/>
    <w:rsid w:val="00BD7B85"/>
    <w:rsid w:val="00BE1121"/>
    <w:rsid w:val="00BE1CD8"/>
    <w:rsid w:val="00BE2457"/>
    <w:rsid w:val="00BE2912"/>
    <w:rsid w:val="00BE2DB3"/>
    <w:rsid w:val="00BE3357"/>
    <w:rsid w:val="00BE440A"/>
    <w:rsid w:val="00BE4814"/>
    <w:rsid w:val="00BE4A52"/>
    <w:rsid w:val="00BE51CA"/>
    <w:rsid w:val="00BE5A5D"/>
    <w:rsid w:val="00BE68B4"/>
    <w:rsid w:val="00BF09DE"/>
    <w:rsid w:val="00BF16E5"/>
    <w:rsid w:val="00BF1945"/>
    <w:rsid w:val="00BF1E86"/>
    <w:rsid w:val="00BF2073"/>
    <w:rsid w:val="00BF33B3"/>
    <w:rsid w:val="00BF3577"/>
    <w:rsid w:val="00BF36F6"/>
    <w:rsid w:val="00BF3EE5"/>
    <w:rsid w:val="00BF4342"/>
    <w:rsid w:val="00BF45DE"/>
    <w:rsid w:val="00BF4F21"/>
    <w:rsid w:val="00BF593C"/>
    <w:rsid w:val="00BF5DEF"/>
    <w:rsid w:val="00BF6E2C"/>
    <w:rsid w:val="00BF6F31"/>
    <w:rsid w:val="00BF746D"/>
    <w:rsid w:val="00C00C7B"/>
    <w:rsid w:val="00C011B8"/>
    <w:rsid w:val="00C012F6"/>
    <w:rsid w:val="00C017FE"/>
    <w:rsid w:val="00C02455"/>
    <w:rsid w:val="00C030C9"/>
    <w:rsid w:val="00C03581"/>
    <w:rsid w:val="00C03A92"/>
    <w:rsid w:val="00C058AF"/>
    <w:rsid w:val="00C102DC"/>
    <w:rsid w:val="00C126BE"/>
    <w:rsid w:val="00C128AE"/>
    <w:rsid w:val="00C13739"/>
    <w:rsid w:val="00C1373D"/>
    <w:rsid w:val="00C144D9"/>
    <w:rsid w:val="00C15186"/>
    <w:rsid w:val="00C155A8"/>
    <w:rsid w:val="00C15FE4"/>
    <w:rsid w:val="00C173FB"/>
    <w:rsid w:val="00C17799"/>
    <w:rsid w:val="00C20E32"/>
    <w:rsid w:val="00C20F27"/>
    <w:rsid w:val="00C2210E"/>
    <w:rsid w:val="00C2257F"/>
    <w:rsid w:val="00C22B0D"/>
    <w:rsid w:val="00C2442E"/>
    <w:rsid w:val="00C2518C"/>
    <w:rsid w:val="00C269D2"/>
    <w:rsid w:val="00C26CE9"/>
    <w:rsid w:val="00C270B4"/>
    <w:rsid w:val="00C27E31"/>
    <w:rsid w:val="00C27F3D"/>
    <w:rsid w:val="00C310A4"/>
    <w:rsid w:val="00C337B0"/>
    <w:rsid w:val="00C34AA2"/>
    <w:rsid w:val="00C350EF"/>
    <w:rsid w:val="00C355D5"/>
    <w:rsid w:val="00C3575D"/>
    <w:rsid w:val="00C35796"/>
    <w:rsid w:val="00C35B31"/>
    <w:rsid w:val="00C35ED0"/>
    <w:rsid w:val="00C360B3"/>
    <w:rsid w:val="00C362F5"/>
    <w:rsid w:val="00C36AD3"/>
    <w:rsid w:val="00C37027"/>
    <w:rsid w:val="00C40D83"/>
    <w:rsid w:val="00C40F25"/>
    <w:rsid w:val="00C418DA"/>
    <w:rsid w:val="00C41AB4"/>
    <w:rsid w:val="00C42E56"/>
    <w:rsid w:val="00C437EC"/>
    <w:rsid w:val="00C455F0"/>
    <w:rsid w:val="00C45E6E"/>
    <w:rsid w:val="00C46217"/>
    <w:rsid w:val="00C4698D"/>
    <w:rsid w:val="00C469FC"/>
    <w:rsid w:val="00C46CEB"/>
    <w:rsid w:val="00C4789B"/>
    <w:rsid w:val="00C50A6B"/>
    <w:rsid w:val="00C51178"/>
    <w:rsid w:val="00C512CE"/>
    <w:rsid w:val="00C52479"/>
    <w:rsid w:val="00C5274D"/>
    <w:rsid w:val="00C52C59"/>
    <w:rsid w:val="00C5383F"/>
    <w:rsid w:val="00C54D3D"/>
    <w:rsid w:val="00C552D4"/>
    <w:rsid w:val="00C56CAF"/>
    <w:rsid w:val="00C56DAC"/>
    <w:rsid w:val="00C56F3D"/>
    <w:rsid w:val="00C57BF2"/>
    <w:rsid w:val="00C61CFF"/>
    <w:rsid w:val="00C63983"/>
    <w:rsid w:val="00C642D3"/>
    <w:rsid w:val="00C64338"/>
    <w:rsid w:val="00C6490C"/>
    <w:rsid w:val="00C64FE7"/>
    <w:rsid w:val="00C65832"/>
    <w:rsid w:val="00C66AB0"/>
    <w:rsid w:val="00C66B51"/>
    <w:rsid w:val="00C67353"/>
    <w:rsid w:val="00C67ADE"/>
    <w:rsid w:val="00C70C7B"/>
    <w:rsid w:val="00C71433"/>
    <w:rsid w:val="00C719D7"/>
    <w:rsid w:val="00C73100"/>
    <w:rsid w:val="00C74121"/>
    <w:rsid w:val="00C74299"/>
    <w:rsid w:val="00C746B1"/>
    <w:rsid w:val="00C74ADB"/>
    <w:rsid w:val="00C75FA4"/>
    <w:rsid w:val="00C76C70"/>
    <w:rsid w:val="00C76DA7"/>
    <w:rsid w:val="00C770EB"/>
    <w:rsid w:val="00C7791C"/>
    <w:rsid w:val="00C800D1"/>
    <w:rsid w:val="00C8063F"/>
    <w:rsid w:val="00C81027"/>
    <w:rsid w:val="00C8120E"/>
    <w:rsid w:val="00C8137E"/>
    <w:rsid w:val="00C828DB"/>
    <w:rsid w:val="00C82A71"/>
    <w:rsid w:val="00C82EA6"/>
    <w:rsid w:val="00C83493"/>
    <w:rsid w:val="00C852A0"/>
    <w:rsid w:val="00C86775"/>
    <w:rsid w:val="00C86BFE"/>
    <w:rsid w:val="00C86F8C"/>
    <w:rsid w:val="00C87513"/>
    <w:rsid w:val="00C877D1"/>
    <w:rsid w:val="00C87879"/>
    <w:rsid w:val="00C87B1B"/>
    <w:rsid w:val="00C87CFD"/>
    <w:rsid w:val="00C87E76"/>
    <w:rsid w:val="00C95B94"/>
    <w:rsid w:val="00C975C2"/>
    <w:rsid w:val="00CA05D3"/>
    <w:rsid w:val="00CA0783"/>
    <w:rsid w:val="00CA1870"/>
    <w:rsid w:val="00CA25C0"/>
    <w:rsid w:val="00CA28B6"/>
    <w:rsid w:val="00CA4948"/>
    <w:rsid w:val="00CA4B52"/>
    <w:rsid w:val="00CA4F8D"/>
    <w:rsid w:val="00CA513D"/>
    <w:rsid w:val="00CA552A"/>
    <w:rsid w:val="00CA6441"/>
    <w:rsid w:val="00CA7853"/>
    <w:rsid w:val="00CA7F22"/>
    <w:rsid w:val="00CB0A9D"/>
    <w:rsid w:val="00CB2286"/>
    <w:rsid w:val="00CB304C"/>
    <w:rsid w:val="00CB376B"/>
    <w:rsid w:val="00CB376E"/>
    <w:rsid w:val="00CB4F92"/>
    <w:rsid w:val="00CB5207"/>
    <w:rsid w:val="00CB5CB2"/>
    <w:rsid w:val="00CB62B6"/>
    <w:rsid w:val="00CB717A"/>
    <w:rsid w:val="00CB7182"/>
    <w:rsid w:val="00CC0AF7"/>
    <w:rsid w:val="00CC10D1"/>
    <w:rsid w:val="00CC1A6F"/>
    <w:rsid w:val="00CC1BA0"/>
    <w:rsid w:val="00CC1E11"/>
    <w:rsid w:val="00CC3780"/>
    <w:rsid w:val="00CC3B6A"/>
    <w:rsid w:val="00CC3F91"/>
    <w:rsid w:val="00CC438F"/>
    <w:rsid w:val="00CC4950"/>
    <w:rsid w:val="00CC4A76"/>
    <w:rsid w:val="00CC4BDB"/>
    <w:rsid w:val="00CC544A"/>
    <w:rsid w:val="00CC57EA"/>
    <w:rsid w:val="00CC6097"/>
    <w:rsid w:val="00CC61D5"/>
    <w:rsid w:val="00CC62E0"/>
    <w:rsid w:val="00CC687F"/>
    <w:rsid w:val="00CC6992"/>
    <w:rsid w:val="00CD05A0"/>
    <w:rsid w:val="00CD1826"/>
    <w:rsid w:val="00CD183E"/>
    <w:rsid w:val="00CD20AF"/>
    <w:rsid w:val="00CD2A47"/>
    <w:rsid w:val="00CD33CB"/>
    <w:rsid w:val="00CD3648"/>
    <w:rsid w:val="00CD427F"/>
    <w:rsid w:val="00CD437E"/>
    <w:rsid w:val="00CD45E9"/>
    <w:rsid w:val="00CD4989"/>
    <w:rsid w:val="00CD54B4"/>
    <w:rsid w:val="00CD590C"/>
    <w:rsid w:val="00CD5ACD"/>
    <w:rsid w:val="00CD5DAD"/>
    <w:rsid w:val="00CD6386"/>
    <w:rsid w:val="00CD7CE2"/>
    <w:rsid w:val="00CE0789"/>
    <w:rsid w:val="00CE13AD"/>
    <w:rsid w:val="00CE1A03"/>
    <w:rsid w:val="00CE1B56"/>
    <w:rsid w:val="00CE2057"/>
    <w:rsid w:val="00CE2318"/>
    <w:rsid w:val="00CE2FBC"/>
    <w:rsid w:val="00CE344B"/>
    <w:rsid w:val="00CE34DF"/>
    <w:rsid w:val="00CE3832"/>
    <w:rsid w:val="00CE3962"/>
    <w:rsid w:val="00CE4183"/>
    <w:rsid w:val="00CE56BD"/>
    <w:rsid w:val="00CE7263"/>
    <w:rsid w:val="00CE78BE"/>
    <w:rsid w:val="00CF2BE2"/>
    <w:rsid w:val="00CF2C0E"/>
    <w:rsid w:val="00CF3DA7"/>
    <w:rsid w:val="00CF44D2"/>
    <w:rsid w:val="00CF5BFD"/>
    <w:rsid w:val="00CF5C72"/>
    <w:rsid w:val="00CF6268"/>
    <w:rsid w:val="00D003AE"/>
    <w:rsid w:val="00D01057"/>
    <w:rsid w:val="00D01625"/>
    <w:rsid w:val="00D01C39"/>
    <w:rsid w:val="00D01CF9"/>
    <w:rsid w:val="00D02F9F"/>
    <w:rsid w:val="00D0334D"/>
    <w:rsid w:val="00D0386D"/>
    <w:rsid w:val="00D0391E"/>
    <w:rsid w:val="00D0503C"/>
    <w:rsid w:val="00D0511F"/>
    <w:rsid w:val="00D05839"/>
    <w:rsid w:val="00D06542"/>
    <w:rsid w:val="00D06C2A"/>
    <w:rsid w:val="00D06C72"/>
    <w:rsid w:val="00D075A8"/>
    <w:rsid w:val="00D079D2"/>
    <w:rsid w:val="00D10282"/>
    <w:rsid w:val="00D106FC"/>
    <w:rsid w:val="00D1096C"/>
    <w:rsid w:val="00D11065"/>
    <w:rsid w:val="00D12587"/>
    <w:rsid w:val="00D12912"/>
    <w:rsid w:val="00D14536"/>
    <w:rsid w:val="00D14656"/>
    <w:rsid w:val="00D14806"/>
    <w:rsid w:val="00D1586C"/>
    <w:rsid w:val="00D15921"/>
    <w:rsid w:val="00D16817"/>
    <w:rsid w:val="00D17019"/>
    <w:rsid w:val="00D17A7B"/>
    <w:rsid w:val="00D17C1E"/>
    <w:rsid w:val="00D17F6E"/>
    <w:rsid w:val="00D200BA"/>
    <w:rsid w:val="00D202D8"/>
    <w:rsid w:val="00D20A25"/>
    <w:rsid w:val="00D21168"/>
    <w:rsid w:val="00D219C8"/>
    <w:rsid w:val="00D220C6"/>
    <w:rsid w:val="00D22E5A"/>
    <w:rsid w:val="00D23D70"/>
    <w:rsid w:val="00D2410C"/>
    <w:rsid w:val="00D2438C"/>
    <w:rsid w:val="00D24809"/>
    <w:rsid w:val="00D26CED"/>
    <w:rsid w:val="00D27185"/>
    <w:rsid w:val="00D304AF"/>
    <w:rsid w:val="00D305E0"/>
    <w:rsid w:val="00D33767"/>
    <w:rsid w:val="00D33AB3"/>
    <w:rsid w:val="00D33AF4"/>
    <w:rsid w:val="00D33B7A"/>
    <w:rsid w:val="00D34226"/>
    <w:rsid w:val="00D342F6"/>
    <w:rsid w:val="00D34A28"/>
    <w:rsid w:val="00D34CFC"/>
    <w:rsid w:val="00D34DAD"/>
    <w:rsid w:val="00D36825"/>
    <w:rsid w:val="00D371E5"/>
    <w:rsid w:val="00D40224"/>
    <w:rsid w:val="00D4072D"/>
    <w:rsid w:val="00D40748"/>
    <w:rsid w:val="00D42C4B"/>
    <w:rsid w:val="00D44613"/>
    <w:rsid w:val="00D44C4B"/>
    <w:rsid w:val="00D44EB2"/>
    <w:rsid w:val="00D468B8"/>
    <w:rsid w:val="00D471AF"/>
    <w:rsid w:val="00D50317"/>
    <w:rsid w:val="00D50519"/>
    <w:rsid w:val="00D518F4"/>
    <w:rsid w:val="00D51CF6"/>
    <w:rsid w:val="00D521B7"/>
    <w:rsid w:val="00D52541"/>
    <w:rsid w:val="00D52A6C"/>
    <w:rsid w:val="00D54270"/>
    <w:rsid w:val="00D55951"/>
    <w:rsid w:val="00D55A17"/>
    <w:rsid w:val="00D5676A"/>
    <w:rsid w:val="00D56824"/>
    <w:rsid w:val="00D57900"/>
    <w:rsid w:val="00D620DB"/>
    <w:rsid w:val="00D6236B"/>
    <w:rsid w:val="00D627F7"/>
    <w:rsid w:val="00D63243"/>
    <w:rsid w:val="00D63561"/>
    <w:rsid w:val="00D640F6"/>
    <w:rsid w:val="00D65C09"/>
    <w:rsid w:val="00D662FC"/>
    <w:rsid w:val="00D665F4"/>
    <w:rsid w:val="00D66A97"/>
    <w:rsid w:val="00D66D8B"/>
    <w:rsid w:val="00D675ED"/>
    <w:rsid w:val="00D67BFA"/>
    <w:rsid w:val="00D71778"/>
    <w:rsid w:val="00D73886"/>
    <w:rsid w:val="00D73C2C"/>
    <w:rsid w:val="00D760B4"/>
    <w:rsid w:val="00D761B1"/>
    <w:rsid w:val="00D76246"/>
    <w:rsid w:val="00D76501"/>
    <w:rsid w:val="00D76575"/>
    <w:rsid w:val="00D778FE"/>
    <w:rsid w:val="00D77912"/>
    <w:rsid w:val="00D80A87"/>
    <w:rsid w:val="00D80DF3"/>
    <w:rsid w:val="00D81182"/>
    <w:rsid w:val="00D81300"/>
    <w:rsid w:val="00D8258D"/>
    <w:rsid w:val="00D8259F"/>
    <w:rsid w:val="00D828D9"/>
    <w:rsid w:val="00D82909"/>
    <w:rsid w:val="00D841C5"/>
    <w:rsid w:val="00D8423B"/>
    <w:rsid w:val="00D84362"/>
    <w:rsid w:val="00D84F27"/>
    <w:rsid w:val="00D86B4C"/>
    <w:rsid w:val="00D86C4D"/>
    <w:rsid w:val="00D86D48"/>
    <w:rsid w:val="00D86FB2"/>
    <w:rsid w:val="00D903FC"/>
    <w:rsid w:val="00D91942"/>
    <w:rsid w:val="00D91E17"/>
    <w:rsid w:val="00D92270"/>
    <w:rsid w:val="00D928B6"/>
    <w:rsid w:val="00D92961"/>
    <w:rsid w:val="00D92976"/>
    <w:rsid w:val="00D93A5F"/>
    <w:rsid w:val="00D9659A"/>
    <w:rsid w:val="00D97F4E"/>
    <w:rsid w:val="00DA079C"/>
    <w:rsid w:val="00DA100C"/>
    <w:rsid w:val="00DA153A"/>
    <w:rsid w:val="00DA19B6"/>
    <w:rsid w:val="00DA240D"/>
    <w:rsid w:val="00DA2853"/>
    <w:rsid w:val="00DA3089"/>
    <w:rsid w:val="00DA5E23"/>
    <w:rsid w:val="00DA6483"/>
    <w:rsid w:val="00DB2162"/>
    <w:rsid w:val="00DB2FA5"/>
    <w:rsid w:val="00DB3059"/>
    <w:rsid w:val="00DB4224"/>
    <w:rsid w:val="00DB432C"/>
    <w:rsid w:val="00DB6A74"/>
    <w:rsid w:val="00DB6B45"/>
    <w:rsid w:val="00DB6DA3"/>
    <w:rsid w:val="00DB723D"/>
    <w:rsid w:val="00DC08D3"/>
    <w:rsid w:val="00DC0AAF"/>
    <w:rsid w:val="00DC0BB7"/>
    <w:rsid w:val="00DC3BA9"/>
    <w:rsid w:val="00DC4CF7"/>
    <w:rsid w:val="00DC67B1"/>
    <w:rsid w:val="00DC6EBB"/>
    <w:rsid w:val="00DC7A10"/>
    <w:rsid w:val="00DD10DC"/>
    <w:rsid w:val="00DD14E6"/>
    <w:rsid w:val="00DD2057"/>
    <w:rsid w:val="00DD276E"/>
    <w:rsid w:val="00DD30A4"/>
    <w:rsid w:val="00DD58BE"/>
    <w:rsid w:val="00DD5D73"/>
    <w:rsid w:val="00DD62EB"/>
    <w:rsid w:val="00DD6C1F"/>
    <w:rsid w:val="00DD7478"/>
    <w:rsid w:val="00DE08E3"/>
    <w:rsid w:val="00DE1BF5"/>
    <w:rsid w:val="00DE3B66"/>
    <w:rsid w:val="00DE5152"/>
    <w:rsid w:val="00DE5C45"/>
    <w:rsid w:val="00DE644C"/>
    <w:rsid w:val="00DE65F5"/>
    <w:rsid w:val="00DE6A12"/>
    <w:rsid w:val="00DF0403"/>
    <w:rsid w:val="00DF0EFC"/>
    <w:rsid w:val="00DF1299"/>
    <w:rsid w:val="00DF1ADD"/>
    <w:rsid w:val="00DF22C1"/>
    <w:rsid w:val="00DF23A8"/>
    <w:rsid w:val="00DF343D"/>
    <w:rsid w:val="00DF4CE8"/>
    <w:rsid w:val="00DF5201"/>
    <w:rsid w:val="00DF52F5"/>
    <w:rsid w:val="00DF5382"/>
    <w:rsid w:val="00DF5877"/>
    <w:rsid w:val="00DF5DDA"/>
    <w:rsid w:val="00DF6864"/>
    <w:rsid w:val="00DF6CCC"/>
    <w:rsid w:val="00DF6F64"/>
    <w:rsid w:val="00DF71E2"/>
    <w:rsid w:val="00DF721E"/>
    <w:rsid w:val="00DF7366"/>
    <w:rsid w:val="00DF7870"/>
    <w:rsid w:val="00DF7B22"/>
    <w:rsid w:val="00DF7CF1"/>
    <w:rsid w:val="00E0210F"/>
    <w:rsid w:val="00E024C2"/>
    <w:rsid w:val="00E02E63"/>
    <w:rsid w:val="00E03628"/>
    <w:rsid w:val="00E0366A"/>
    <w:rsid w:val="00E03B90"/>
    <w:rsid w:val="00E041B5"/>
    <w:rsid w:val="00E04745"/>
    <w:rsid w:val="00E04A10"/>
    <w:rsid w:val="00E0570B"/>
    <w:rsid w:val="00E07669"/>
    <w:rsid w:val="00E10DBA"/>
    <w:rsid w:val="00E124E9"/>
    <w:rsid w:val="00E12731"/>
    <w:rsid w:val="00E13503"/>
    <w:rsid w:val="00E15D58"/>
    <w:rsid w:val="00E16E66"/>
    <w:rsid w:val="00E21663"/>
    <w:rsid w:val="00E219CE"/>
    <w:rsid w:val="00E2273F"/>
    <w:rsid w:val="00E22D8F"/>
    <w:rsid w:val="00E239F4"/>
    <w:rsid w:val="00E24CC4"/>
    <w:rsid w:val="00E24EBC"/>
    <w:rsid w:val="00E24FB6"/>
    <w:rsid w:val="00E2522C"/>
    <w:rsid w:val="00E2584E"/>
    <w:rsid w:val="00E26194"/>
    <w:rsid w:val="00E266C1"/>
    <w:rsid w:val="00E26B71"/>
    <w:rsid w:val="00E26B9E"/>
    <w:rsid w:val="00E27588"/>
    <w:rsid w:val="00E27CB7"/>
    <w:rsid w:val="00E3043E"/>
    <w:rsid w:val="00E3093E"/>
    <w:rsid w:val="00E319B3"/>
    <w:rsid w:val="00E31E93"/>
    <w:rsid w:val="00E32F09"/>
    <w:rsid w:val="00E349E9"/>
    <w:rsid w:val="00E3525C"/>
    <w:rsid w:val="00E35AC7"/>
    <w:rsid w:val="00E35D83"/>
    <w:rsid w:val="00E36D75"/>
    <w:rsid w:val="00E371BB"/>
    <w:rsid w:val="00E403B5"/>
    <w:rsid w:val="00E41318"/>
    <w:rsid w:val="00E413CB"/>
    <w:rsid w:val="00E41462"/>
    <w:rsid w:val="00E41D36"/>
    <w:rsid w:val="00E4229E"/>
    <w:rsid w:val="00E425E0"/>
    <w:rsid w:val="00E4321B"/>
    <w:rsid w:val="00E44AB2"/>
    <w:rsid w:val="00E44C65"/>
    <w:rsid w:val="00E4537C"/>
    <w:rsid w:val="00E45434"/>
    <w:rsid w:val="00E460A3"/>
    <w:rsid w:val="00E4695D"/>
    <w:rsid w:val="00E47880"/>
    <w:rsid w:val="00E47BFC"/>
    <w:rsid w:val="00E47EC7"/>
    <w:rsid w:val="00E47F17"/>
    <w:rsid w:val="00E50F0D"/>
    <w:rsid w:val="00E51386"/>
    <w:rsid w:val="00E51B8B"/>
    <w:rsid w:val="00E522AD"/>
    <w:rsid w:val="00E52D7E"/>
    <w:rsid w:val="00E53682"/>
    <w:rsid w:val="00E53730"/>
    <w:rsid w:val="00E53F62"/>
    <w:rsid w:val="00E54511"/>
    <w:rsid w:val="00E54DFF"/>
    <w:rsid w:val="00E556EF"/>
    <w:rsid w:val="00E559ED"/>
    <w:rsid w:val="00E56861"/>
    <w:rsid w:val="00E574A6"/>
    <w:rsid w:val="00E57577"/>
    <w:rsid w:val="00E579F8"/>
    <w:rsid w:val="00E57F04"/>
    <w:rsid w:val="00E60278"/>
    <w:rsid w:val="00E628FC"/>
    <w:rsid w:val="00E63108"/>
    <w:rsid w:val="00E635B3"/>
    <w:rsid w:val="00E6461A"/>
    <w:rsid w:val="00E64FFE"/>
    <w:rsid w:val="00E65463"/>
    <w:rsid w:val="00E659F9"/>
    <w:rsid w:val="00E66345"/>
    <w:rsid w:val="00E66BC1"/>
    <w:rsid w:val="00E70506"/>
    <w:rsid w:val="00E716EE"/>
    <w:rsid w:val="00E71FEE"/>
    <w:rsid w:val="00E72267"/>
    <w:rsid w:val="00E72830"/>
    <w:rsid w:val="00E745C3"/>
    <w:rsid w:val="00E74897"/>
    <w:rsid w:val="00E749E8"/>
    <w:rsid w:val="00E74F64"/>
    <w:rsid w:val="00E7713B"/>
    <w:rsid w:val="00E77508"/>
    <w:rsid w:val="00E77E0A"/>
    <w:rsid w:val="00E801BA"/>
    <w:rsid w:val="00E8195F"/>
    <w:rsid w:val="00E8251E"/>
    <w:rsid w:val="00E825A7"/>
    <w:rsid w:val="00E8291B"/>
    <w:rsid w:val="00E82CDE"/>
    <w:rsid w:val="00E8358A"/>
    <w:rsid w:val="00E841C8"/>
    <w:rsid w:val="00E850DB"/>
    <w:rsid w:val="00E855F7"/>
    <w:rsid w:val="00E86CCF"/>
    <w:rsid w:val="00E871A3"/>
    <w:rsid w:val="00E87914"/>
    <w:rsid w:val="00E90F1B"/>
    <w:rsid w:val="00E91044"/>
    <w:rsid w:val="00E910D3"/>
    <w:rsid w:val="00E91575"/>
    <w:rsid w:val="00E9269E"/>
    <w:rsid w:val="00E93593"/>
    <w:rsid w:val="00E939A2"/>
    <w:rsid w:val="00E93CB2"/>
    <w:rsid w:val="00E93D66"/>
    <w:rsid w:val="00E96918"/>
    <w:rsid w:val="00EA034B"/>
    <w:rsid w:val="00EA0975"/>
    <w:rsid w:val="00EA0E38"/>
    <w:rsid w:val="00EA2477"/>
    <w:rsid w:val="00EA35EB"/>
    <w:rsid w:val="00EA4290"/>
    <w:rsid w:val="00EA5CDA"/>
    <w:rsid w:val="00EA6E4E"/>
    <w:rsid w:val="00EB05D0"/>
    <w:rsid w:val="00EB13E3"/>
    <w:rsid w:val="00EB1D49"/>
    <w:rsid w:val="00EB1EB8"/>
    <w:rsid w:val="00EB204B"/>
    <w:rsid w:val="00EB2ADA"/>
    <w:rsid w:val="00EB3609"/>
    <w:rsid w:val="00EB3D92"/>
    <w:rsid w:val="00EB4DCD"/>
    <w:rsid w:val="00EB51AC"/>
    <w:rsid w:val="00EB64A3"/>
    <w:rsid w:val="00EB7B78"/>
    <w:rsid w:val="00EC0278"/>
    <w:rsid w:val="00EC1035"/>
    <w:rsid w:val="00EC15B9"/>
    <w:rsid w:val="00EC2584"/>
    <w:rsid w:val="00EC2A2B"/>
    <w:rsid w:val="00EC3570"/>
    <w:rsid w:val="00EC39EC"/>
    <w:rsid w:val="00EC5B70"/>
    <w:rsid w:val="00EC7024"/>
    <w:rsid w:val="00ED127E"/>
    <w:rsid w:val="00ED2D13"/>
    <w:rsid w:val="00ED3525"/>
    <w:rsid w:val="00ED5F7D"/>
    <w:rsid w:val="00ED6C2B"/>
    <w:rsid w:val="00EE0311"/>
    <w:rsid w:val="00EE0F3D"/>
    <w:rsid w:val="00EE1C43"/>
    <w:rsid w:val="00EE1C92"/>
    <w:rsid w:val="00EE375E"/>
    <w:rsid w:val="00EE3B50"/>
    <w:rsid w:val="00EE69FF"/>
    <w:rsid w:val="00EF1C0F"/>
    <w:rsid w:val="00EF2109"/>
    <w:rsid w:val="00EF2BC3"/>
    <w:rsid w:val="00EF4C73"/>
    <w:rsid w:val="00EF5554"/>
    <w:rsid w:val="00EF55C7"/>
    <w:rsid w:val="00EF5C5A"/>
    <w:rsid w:val="00EF5CB6"/>
    <w:rsid w:val="00EF5D10"/>
    <w:rsid w:val="00EF5ED5"/>
    <w:rsid w:val="00EF72BB"/>
    <w:rsid w:val="00F000B2"/>
    <w:rsid w:val="00F0041A"/>
    <w:rsid w:val="00F006C0"/>
    <w:rsid w:val="00F00923"/>
    <w:rsid w:val="00F00E1D"/>
    <w:rsid w:val="00F010DA"/>
    <w:rsid w:val="00F02544"/>
    <w:rsid w:val="00F02686"/>
    <w:rsid w:val="00F02D4C"/>
    <w:rsid w:val="00F02EC0"/>
    <w:rsid w:val="00F02F42"/>
    <w:rsid w:val="00F037EA"/>
    <w:rsid w:val="00F04E15"/>
    <w:rsid w:val="00F069EA"/>
    <w:rsid w:val="00F077BD"/>
    <w:rsid w:val="00F07B57"/>
    <w:rsid w:val="00F07DB3"/>
    <w:rsid w:val="00F10569"/>
    <w:rsid w:val="00F11DDC"/>
    <w:rsid w:val="00F11EAA"/>
    <w:rsid w:val="00F11FB1"/>
    <w:rsid w:val="00F12B24"/>
    <w:rsid w:val="00F13BA2"/>
    <w:rsid w:val="00F144B8"/>
    <w:rsid w:val="00F148FE"/>
    <w:rsid w:val="00F1490C"/>
    <w:rsid w:val="00F14A63"/>
    <w:rsid w:val="00F14F40"/>
    <w:rsid w:val="00F1507E"/>
    <w:rsid w:val="00F15E60"/>
    <w:rsid w:val="00F16055"/>
    <w:rsid w:val="00F164B2"/>
    <w:rsid w:val="00F16E6E"/>
    <w:rsid w:val="00F17092"/>
    <w:rsid w:val="00F17CD4"/>
    <w:rsid w:val="00F20EA0"/>
    <w:rsid w:val="00F210EE"/>
    <w:rsid w:val="00F22756"/>
    <w:rsid w:val="00F22C25"/>
    <w:rsid w:val="00F22FC7"/>
    <w:rsid w:val="00F24F54"/>
    <w:rsid w:val="00F259C2"/>
    <w:rsid w:val="00F25D5E"/>
    <w:rsid w:val="00F2637F"/>
    <w:rsid w:val="00F2774E"/>
    <w:rsid w:val="00F30553"/>
    <w:rsid w:val="00F30CF8"/>
    <w:rsid w:val="00F310EA"/>
    <w:rsid w:val="00F31347"/>
    <w:rsid w:val="00F32D4C"/>
    <w:rsid w:val="00F347D1"/>
    <w:rsid w:val="00F34B14"/>
    <w:rsid w:val="00F34E3F"/>
    <w:rsid w:val="00F35F44"/>
    <w:rsid w:val="00F360A0"/>
    <w:rsid w:val="00F36EF9"/>
    <w:rsid w:val="00F37F55"/>
    <w:rsid w:val="00F4008D"/>
    <w:rsid w:val="00F40101"/>
    <w:rsid w:val="00F409AB"/>
    <w:rsid w:val="00F40CD1"/>
    <w:rsid w:val="00F4146A"/>
    <w:rsid w:val="00F43AA2"/>
    <w:rsid w:val="00F43DB1"/>
    <w:rsid w:val="00F46723"/>
    <w:rsid w:val="00F46B91"/>
    <w:rsid w:val="00F46E29"/>
    <w:rsid w:val="00F4743E"/>
    <w:rsid w:val="00F474F9"/>
    <w:rsid w:val="00F50016"/>
    <w:rsid w:val="00F5046A"/>
    <w:rsid w:val="00F50D15"/>
    <w:rsid w:val="00F50D45"/>
    <w:rsid w:val="00F50EA5"/>
    <w:rsid w:val="00F5133C"/>
    <w:rsid w:val="00F5175C"/>
    <w:rsid w:val="00F51C25"/>
    <w:rsid w:val="00F52963"/>
    <w:rsid w:val="00F53BC8"/>
    <w:rsid w:val="00F53E28"/>
    <w:rsid w:val="00F54215"/>
    <w:rsid w:val="00F543D4"/>
    <w:rsid w:val="00F548CD"/>
    <w:rsid w:val="00F56163"/>
    <w:rsid w:val="00F56E31"/>
    <w:rsid w:val="00F56E8B"/>
    <w:rsid w:val="00F60265"/>
    <w:rsid w:val="00F60D2F"/>
    <w:rsid w:val="00F60F83"/>
    <w:rsid w:val="00F6232F"/>
    <w:rsid w:val="00F625CD"/>
    <w:rsid w:val="00F6520F"/>
    <w:rsid w:val="00F65B4A"/>
    <w:rsid w:val="00F679B3"/>
    <w:rsid w:val="00F67A6B"/>
    <w:rsid w:val="00F703DB"/>
    <w:rsid w:val="00F706C1"/>
    <w:rsid w:val="00F70799"/>
    <w:rsid w:val="00F712BB"/>
    <w:rsid w:val="00F71680"/>
    <w:rsid w:val="00F719F1"/>
    <w:rsid w:val="00F71C9E"/>
    <w:rsid w:val="00F71CE9"/>
    <w:rsid w:val="00F724FB"/>
    <w:rsid w:val="00F725D1"/>
    <w:rsid w:val="00F747B8"/>
    <w:rsid w:val="00F74A23"/>
    <w:rsid w:val="00F75227"/>
    <w:rsid w:val="00F756DD"/>
    <w:rsid w:val="00F76938"/>
    <w:rsid w:val="00F7696F"/>
    <w:rsid w:val="00F77CDA"/>
    <w:rsid w:val="00F81D50"/>
    <w:rsid w:val="00F82216"/>
    <w:rsid w:val="00F82888"/>
    <w:rsid w:val="00F843FF"/>
    <w:rsid w:val="00F84DE1"/>
    <w:rsid w:val="00F8594C"/>
    <w:rsid w:val="00F85EF4"/>
    <w:rsid w:val="00F862F7"/>
    <w:rsid w:val="00F86FE6"/>
    <w:rsid w:val="00F8712D"/>
    <w:rsid w:val="00F87876"/>
    <w:rsid w:val="00F87A28"/>
    <w:rsid w:val="00F87E7D"/>
    <w:rsid w:val="00F907A9"/>
    <w:rsid w:val="00F90DFE"/>
    <w:rsid w:val="00F91906"/>
    <w:rsid w:val="00F91F60"/>
    <w:rsid w:val="00F92014"/>
    <w:rsid w:val="00F92AB6"/>
    <w:rsid w:val="00F932D3"/>
    <w:rsid w:val="00F940E7"/>
    <w:rsid w:val="00F95E38"/>
    <w:rsid w:val="00F96960"/>
    <w:rsid w:val="00F972DA"/>
    <w:rsid w:val="00FA069D"/>
    <w:rsid w:val="00FA240D"/>
    <w:rsid w:val="00FA4368"/>
    <w:rsid w:val="00FA43B6"/>
    <w:rsid w:val="00FA472D"/>
    <w:rsid w:val="00FA5E5E"/>
    <w:rsid w:val="00FA68F4"/>
    <w:rsid w:val="00FA7A03"/>
    <w:rsid w:val="00FA7B10"/>
    <w:rsid w:val="00FB035E"/>
    <w:rsid w:val="00FB1717"/>
    <w:rsid w:val="00FB2E0A"/>
    <w:rsid w:val="00FB456F"/>
    <w:rsid w:val="00FB46B3"/>
    <w:rsid w:val="00FB4B87"/>
    <w:rsid w:val="00FB5454"/>
    <w:rsid w:val="00FB58B9"/>
    <w:rsid w:val="00FB6506"/>
    <w:rsid w:val="00FB65F0"/>
    <w:rsid w:val="00FB706F"/>
    <w:rsid w:val="00FB7D90"/>
    <w:rsid w:val="00FC06E2"/>
    <w:rsid w:val="00FC1953"/>
    <w:rsid w:val="00FC38E2"/>
    <w:rsid w:val="00FC4979"/>
    <w:rsid w:val="00FC4ABE"/>
    <w:rsid w:val="00FC5060"/>
    <w:rsid w:val="00FC6330"/>
    <w:rsid w:val="00FC75B9"/>
    <w:rsid w:val="00FC79BC"/>
    <w:rsid w:val="00FD01BF"/>
    <w:rsid w:val="00FD0203"/>
    <w:rsid w:val="00FD153F"/>
    <w:rsid w:val="00FD1D9B"/>
    <w:rsid w:val="00FD4478"/>
    <w:rsid w:val="00FD45C0"/>
    <w:rsid w:val="00FD7C50"/>
    <w:rsid w:val="00FE0488"/>
    <w:rsid w:val="00FE062B"/>
    <w:rsid w:val="00FE45EF"/>
    <w:rsid w:val="00FE5730"/>
    <w:rsid w:val="00FE58AA"/>
    <w:rsid w:val="00FE60A5"/>
    <w:rsid w:val="00FE741D"/>
    <w:rsid w:val="00FF0742"/>
    <w:rsid w:val="00FF08DD"/>
    <w:rsid w:val="00FF124E"/>
    <w:rsid w:val="00FF186E"/>
    <w:rsid w:val="00FF1C9B"/>
    <w:rsid w:val="00FF2136"/>
    <w:rsid w:val="00FF23F1"/>
    <w:rsid w:val="00FF36AE"/>
    <w:rsid w:val="00FF454D"/>
    <w:rsid w:val="00FF45C6"/>
    <w:rsid w:val="00FF46BC"/>
    <w:rsid w:val="00FF4767"/>
    <w:rsid w:val="00FF48D1"/>
    <w:rsid w:val="00FF57E4"/>
    <w:rsid w:val="00FF6E76"/>
    <w:rsid w:val="00FF7992"/>
    <w:rsid w:val="00FF7D0D"/>
    <w:rsid w:val="01442858"/>
    <w:rsid w:val="01F85131"/>
    <w:rsid w:val="01FB0577"/>
    <w:rsid w:val="029D6AA1"/>
    <w:rsid w:val="03EC24E3"/>
    <w:rsid w:val="03FD77B9"/>
    <w:rsid w:val="04E37300"/>
    <w:rsid w:val="05102CA3"/>
    <w:rsid w:val="05172669"/>
    <w:rsid w:val="05386D69"/>
    <w:rsid w:val="05425BD0"/>
    <w:rsid w:val="054D3328"/>
    <w:rsid w:val="059253AA"/>
    <w:rsid w:val="05A953A3"/>
    <w:rsid w:val="06C47348"/>
    <w:rsid w:val="07F96962"/>
    <w:rsid w:val="091C79AF"/>
    <w:rsid w:val="091D33B7"/>
    <w:rsid w:val="09A4128C"/>
    <w:rsid w:val="09BB03CA"/>
    <w:rsid w:val="09D479F6"/>
    <w:rsid w:val="0CAF0ECD"/>
    <w:rsid w:val="0CCB352B"/>
    <w:rsid w:val="0D681AC5"/>
    <w:rsid w:val="0E3B4C89"/>
    <w:rsid w:val="0F6A5356"/>
    <w:rsid w:val="108E7C81"/>
    <w:rsid w:val="116450A4"/>
    <w:rsid w:val="11954FE8"/>
    <w:rsid w:val="1257737C"/>
    <w:rsid w:val="12B02A3A"/>
    <w:rsid w:val="13551F1A"/>
    <w:rsid w:val="15350C7E"/>
    <w:rsid w:val="161102E6"/>
    <w:rsid w:val="165D2EDD"/>
    <w:rsid w:val="171C7303"/>
    <w:rsid w:val="172E2801"/>
    <w:rsid w:val="17481D17"/>
    <w:rsid w:val="17697AA4"/>
    <w:rsid w:val="17DD3FE4"/>
    <w:rsid w:val="17EF551E"/>
    <w:rsid w:val="181342FB"/>
    <w:rsid w:val="18CC05F0"/>
    <w:rsid w:val="18FF1468"/>
    <w:rsid w:val="190935BD"/>
    <w:rsid w:val="19761DC2"/>
    <w:rsid w:val="19A5409D"/>
    <w:rsid w:val="1A010D56"/>
    <w:rsid w:val="1B2777DE"/>
    <w:rsid w:val="1B2E0668"/>
    <w:rsid w:val="1BB95E4D"/>
    <w:rsid w:val="1BF01866"/>
    <w:rsid w:val="1BF77BAF"/>
    <w:rsid w:val="1C5E4158"/>
    <w:rsid w:val="1C6D0116"/>
    <w:rsid w:val="1C937D5E"/>
    <w:rsid w:val="1CDD3196"/>
    <w:rsid w:val="1D202BAE"/>
    <w:rsid w:val="1E2D2538"/>
    <w:rsid w:val="1E67246E"/>
    <w:rsid w:val="1EA44712"/>
    <w:rsid w:val="1EC8564A"/>
    <w:rsid w:val="1F0F0AB3"/>
    <w:rsid w:val="1FA95DAD"/>
    <w:rsid w:val="1FAE4CD5"/>
    <w:rsid w:val="200D19A5"/>
    <w:rsid w:val="205D3B0C"/>
    <w:rsid w:val="20763F67"/>
    <w:rsid w:val="20F13B1E"/>
    <w:rsid w:val="211E2D29"/>
    <w:rsid w:val="212A18C5"/>
    <w:rsid w:val="212D58D5"/>
    <w:rsid w:val="227B3876"/>
    <w:rsid w:val="230316CB"/>
    <w:rsid w:val="237F5501"/>
    <w:rsid w:val="23A771C7"/>
    <w:rsid w:val="2474663F"/>
    <w:rsid w:val="24B076D4"/>
    <w:rsid w:val="25193090"/>
    <w:rsid w:val="26A644E6"/>
    <w:rsid w:val="27260850"/>
    <w:rsid w:val="27357D9E"/>
    <w:rsid w:val="27AA7362"/>
    <w:rsid w:val="27E93DDE"/>
    <w:rsid w:val="2878002C"/>
    <w:rsid w:val="28DA01B1"/>
    <w:rsid w:val="29AC4B00"/>
    <w:rsid w:val="29D1386D"/>
    <w:rsid w:val="29DF7CB3"/>
    <w:rsid w:val="2A206B35"/>
    <w:rsid w:val="2A505A3F"/>
    <w:rsid w:val="2AEA0E3E"/>
    <w:rsid w:val="2B7C47F4"/>
    <w:rsid w:val="2B820D3E"/>
    <w:rsid w:val="2C2D6732"/>
    <w:rsid w:val="2C633D5F"/>
    <w:rsid w:val="2C84531E"/>
    <w:rsid w:val="2D02313C"/>
    <w:rsid w:val="2D030BB9"/>
    <w:rsid w:val="2D594884"/>
    <w:rsid w:val="2D66197A"/>
    <w:rsid w:val="2D870D8D"/>
    <w:rsid w:val="2D9F6C47"/>
    <w:rsid w:val="2DA656F5"/>
    <w:rsid w:val="2DEE331D"/>
    <w:rsid w:val="2DF2411C"/>
    <w:rsid w:val="2ECD736E"/>
    <w:rsid w:val="301A52F1"/>
    <w:rsid w:val="3050092B"/>
    <w:rsid w:val="30D30E5D"/>
    <w:rsid w:val="31F33D89"/>
    <w:rsid w:val="325A120A"/>
    <w:rsid w:val="33672F44"/>
    <w:rsid w:val="33861D34"/>
    <w:rsid w:val="33DC5AB5"/>
    <w:rsid w:val="33FC1613"/>
    <w:rsid w:val="340C7CEE"/>
    <w:rsid w:val="341C2588"/>
    <w:rsid w:val="34805B94"/>
    <w:rsid w:val="34843EC9"/>
    <w:rsid w:val="353F1917"/>
    <w:rsid w:val="3592109D"/>
    <w:rsid w:val="35C935F5"/>
    <w:rsid w:val="360D4B09"/>
    <w:rsid w:val="36146B4E"/>
    <w:rsid w:val="361C4936"/>
    <w:rsid w:val="36413A96"/>
    <w:rsid w:val="366A0554"/>
    <w:rsid w:val="369937B3"/>
    <w:rsid w:val="36B35DB8"/>
    <w:rsid w:val="376D7F9D"/>
    <w:rsid w:val="37A868E2"/>
    <w:rsid w:val="381E6E07"/>
    <w:rsid w:val="3856437B"/>
    <w:rsid w:val="388F070D"/>
    <w:rsid w:val="38D20FD2"/>
    <w:rsid w:val="3A3E5399"/>
    <w:rsid w:val="3A6D1B20"/>
    <w:rsid w:val="3BD603C7"/>
    <w:rsid w:val="3C905E77"/>
    <w:rsid w:val="3CF67BFC"/>
    <w:rsid w:val="3D06373D"/>
    <w:rsid w:val="3D6F3D3E"/>
    <w:rsid w:val="3DB03A10"/>
    <w:rsid w:val="3DFF1D0E"/>
    <w:rsid w:val="3EA76EB3"/>
    <w:rsid w:val="3EB22465"/>
    <w:rsid w:val="3F0D1F0F"/>
    <w:rsid w:val="3F636BC5"/>
    <w:rsid w:val="3FDB5098"/>
    <w:rsid w:val="40D2442E"/>
    <w:rsid w:val="43765941"/>
    <w:rsid w:val="4383170B"/>
    <w:rsid w:val="43EF2D90"/>
    <w:rsid w:val="441B6338"/>
    <w:rsid w:val="44F41044"/>
    <w:rsid w:val="452E5E2F"/>
    <w:rsid w:val="4636191E"/>
    <w:rsid w:val="468C0D6B"/>
    <w:rsid w:val="46F71FAF"/>
    <w:rsid w:val="489570D2"/>
    <w:rsid w:val="48B73CA3"/>
    <w:rsid w:val="49A70501"/>
    <w:rsid w:val="49A871C9"/>
    <w:rsid w:val="4A2F1038"/>
    <w:rsid w:val="4A697ADA"/>
    <w:rsid w:val="4A945DDB"/>
    <w:rsid w:val="4BFB0FDB"/>
    <w:rsid w:val="4C1A21EA"/>
    <w:rsid w:val="4C811AA9"/>
    <w:rsid w:val="4D7A48A4"/>
    <w:rsid w:val="4D866FD6"/>
    <w:rsid w:val="4ED63E0D"/>
    <w:rsid w:val="4EEB2640"/>
    <w:rsid w:val="4F0F6471"/>
    <w:rsid w:val="4F86318D"/>
    <w:rsid w:val="4FDD6030"/>
    <w:rsid w:val="4FE674DE"/>
    <w:rsid w:val="50BA7033"/>
    <w:rsid w:val="51065434"/>
    <w:rsid w:val="51765D8F"/>
    <w:rsid w:val="51B009B2"/>
    <w:rsid w:val="51E072E6"/>
    <w:rsid w:val="52CB5087"/>
    <w:rsid w:val="52CD5564"/>
    <w:rsid w:val="52E84236"/>
    <w:rsid w:val="54544DA1"/>
    <w:rsid w:val="549779EA"/>
    <w:rsid w:val="54B66C22"/>
    <w:rsid w:val="555D14B2"/>
    <w:rsid w:val="556C6300"/>
    <w:rsid w:val="564D7BAB"/>
    <w:rsid w:val="56711B73"/>
    <w:rsid w:val="56DC6220"/>
    <w:rsid w:val="5778608A"/>
    <w:rsid w:val="57987DD4"/>
    <w:rsid w:val="58423D18"/>
    <w:rsid w:val="59182080"/>
    <w:rsid w:val="59552182"/>
    <w:rsid w:val="599641FF"/>
    <w:rsid w:val="59D20066"/>
    <w:rsid w:val="5A12560E"/>
    <w:rsid w:val="5AF14F24"/>
    <w:rsid w:val="5AF726E6"/>
    <w:rsid w:val="5B5C20EA"/>
    <w:rsid w:val="5B5E240E"/>
    <w:rsid w:val="5CAF1BDB"/>
    <w:rsid w:val="5D791B7C"/>
    <w:rsid w:val="5D8F1338"/>
    <w:rsid w:val="5DE15E69"/>
    <w:rsid w:val="5DF81A1B"/>
    <w:rsid w:val="5E3E0D74"/>
    <w:rsid w:val="5E720F97"/>
    <w:rsid w:val="5EB87F90"/>
    <w:rsid w:val="609F3BD3"/>
    <w:rsid w:val="61044CC4"/>
    <w:rsid w:val="6110364F"/>
    <w:rsid w:val="616B1606"/>
    <w:rsid w:val="61835A39"/>
    <w:rsid w:val="61921DC6"/>
    <w:rsid w:val="61CA1C3D"/>
    <w:rsid w:val="61D40AAE"/>
    <w:rsid w:val="6260306E"/>
    <w:rsid w:val="629D119B"/>
    <w:rsid w:val="62A7100B"/>
    <w:rsid w:val="632E74D0"/>
    <w:rsid w:val="63961084"/>
    <w:rsid w:val="63B201C3"/>
    <w:rsid w:val="641639E4"/>
    <w:rsid w:val="64E3436C"/>
    <w:rsid w:val="64F54B93"/>
    <w:rsid w:val="662E285E"/>
    <w:rsid w:val="66A42102"/>
    <w:rsid w:val="66D641D4"/>
    <w:rsid w:val="67035FAA"/>
    <w:rsid w:val="67145FD8"/>
    <w:rsid w:val="67317F0A"/>
    <w:rsid w:val="67604B92"/>
    <w:rsid w:val="67A01793"/>
    <w:rsid w:val="67BE5880"/>
    <w:rsid w:val="68162F70"/>
    <w:rsid w:val="689371AC"/>
    <w:rsid w:val="68B9467E"/>
    <w:rsid w:val="68E86DBE"/>
    <w:rsid w:val="691B6C41"/>
    <w:rsid w:val="69A265DA"/>
    <w:rsid w:val="69EB4E05"/>
    <w:rsid w:val="69F145C0"/>
    <w:rsid w:val="6A4C7F9B"/>
    <w:rsid w:val="6A5F0DE9"/>
    <w:rsid w:val="6ADB24D2"/>
    <w:rsid w:val="6BCF10DE"/>
    <w:rsid w:val="6BE738B8"/>
    <w:rsid w:val="6C8A79CE"/>
    <w:rsid w:val="6CAD316F"/>
    <w:rsid w:val="6D4468ED"/>
    <w:rsid w:val="6D581233"/>
    <w:rsid w:val="6D6408EF"/>
    <w:rsid w:val="6DFF1F0B"/>
    <w:rsid w:val="6E81336B"/>
    <w:rsid w:val="6FA77747"/>
    <w:rsid w:val="70874AC3"/>
    <w:rsid w:val="70C315D8"/>
    <w:rsid w:val="70CC0477"/>
    <w:rsid w:val="71021644"/>
    <w:rsid w:val="7157543B"/>
    <w:rsid w:val="71C76D4A"/>
    <w:rsid w:val="725620A9"/>
    <w:rsid w:val="72C77BD2"/>
    <w:rsid w:val="72F85BB1"/>
    <w:rsid w:val="73570990"/>
    <w:rsid w:val="742B70A5"/>
    <w:rsid w:val="74604FAC"/>
    <w:rsid w:val="75192165"/>
    <w:rsid w:val="75616CC1"/>
    <w:rsid w:val="75BD4A1D"/>
    <w:rsid w:val="75ED062E"/>
    <w:rsid w:val="75F64C6D"/>
    <w:rsid w:val="76787950"/>
    <w:rsid w:val="76CB2053"/>
    <w:rsid w:val="78E17C9D"/>
    <w:rsid w:val="79746403"/>
    <w:rsid w:val="79C4748F"/>
    <w:rsid w:val="79D97656"/>
    <w:rsid w:val="7A6E0D25"/>
    <w:rsid w:val="7ADE5053"/>
    <w:rsid w:val="7B0128CF"/>
    <w:rsid w:val="7B9A5C7A"/>
    <w:rsid w:val="7C09642F"/>
    <w:rsid w:val="7C9A54C1"/>
    <w:rsid w:val="7C9C6952"/>
    <w:rsid w:val="7D4D3A06"/>
    <w:rsid w:val="7D5E1D96"/>
    <w:rsid w:val="7E224E05"/>
    <w:rsid w:val="7F411627"/>
    <w:rsid w:val="7F4D3C29"/>
    <w:rsid w:val="7F4F10F8"/>
    <w:rsid w:val="7F9D1D32"/>
    <w:rsid w:val="7FDE4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qFormat="1" w:uiPriority="0" w:semiHidden="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nhideWhenUsed="0" w:uiPriority="0" w:semiHidden="0"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20" w:lineRule="exact"/>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72"/>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74"/>
    <w:qFormat/>
    <w:uiPriority w:val="0"/>
    <w:pPr>
      <w:keepNext/>
      <w:keepLines/>
      <w:spacing w:before="260" w:after="260" w:line="416" w:lineRule="auto"/>
      <w:outlineLvl w:val="2"/>
    </w:pPr>
    <w:rPr>
      <w:b/>
      <w:bCs/>
      <w:sz w:val="32"/>
      <w:szCs w:val="32"/>
    </w:rPr>
  </w:style>
  <w:style w:type="paragraph" w:styleId="6">
    <w:name w:val="heading 4"/>
    <w:basedOn w:val="1"/>
    <w:next w:val="1"/>
    <w:link w:val="75"/>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4"/>
    <w:link w:val="76"/>
    <w:qFormat/>
    <w:uiPriority w:val="0"/>
    <w:pPr>
      <w:keepNext/>
      <w:keepLines/>
      <w:numPr>
        <w:ilvl w:val="4"/>
        <w:numId w:val="1"/>
      </w:numPr>
      <w:spacing w:before="280" w:after="290" w:line="376" w:lineRule="auto"/>
      <w:outlineLvl w:val="4"/>
    </w:pPr>
    <w:rPr>
      <w:b/>
      <w:sz w:val="28"/>
    </w:rPr>
  </w:style>
  <w:style w:type="paragraph" w:styleId="8">
    <w:name w:val="heading 6"/>
    <w:basedOn w:val="1"/>
    <w:next w:val="4"/>
    <w:link w:val="77"/>
    <w:qFormat/>
    <w:uiPriority w:val="0"/>
    <w:pPr>
      <w:keepNext/>
      <w:keepLines/>
      <w:numPr>
        <w:ilvl w:val="5"/>
        <w:numId w:val="1"/>
      </w:numPr>
      <w:spacing w:before="240" w:after="64" w:line="320" w:lineRule="auto"/>
      <w:outlineLvl w:val="5"/>
    </w:pPr>
    <w:rPr>
      <w:rFonts w:ascii="Arial" w:hAnsi="Arial" w:eastAsia="黑体"/>
      <w:b/>
      <w:sz w:val="24"/>
    </w:rPr>
  </w:style>
  <w:style w:type="paragraph" w:styleId="9">
    <w:name w:val="heading 7"/>
    <w:basedOn w:val="1"/>
    <w:next w:val="4"/>
    <w:link w:val="78"/>
    <w:qFormat/>
    <w:uiPriority w:val="0"/>
    <w:pPr>
      <w:keepNext/>
      <w:keepLines/>
      <w:numPr>
        <w:ilvl w:val="6"/>
        <w:numId w:val="1"/>
      </w:numPr>
      <w:spacing w:before="240" w:after="64" w:line="320" w:lineRule="auto"/>
      <w:outlineLvl w:val="6"/>
    </w:pPr>
    <w:rPr>
      <w:b/>
      <w:sz w:val="24"/>
    </w:rPr>
  </w:style>
  <w:style w:type="paragraph" w:styleId="10">
    <w:name w:val="heading 8"/>
    <w:basedOn w:val="1"/>
    <w:next w:val="4"/>
    <w:link w:val="79"/>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4"/>
    <w:link w:val="80"/>
    <w:qFormat/>
    <w:uiPriority w:val="0"/>
    <w:pPr>
      <w:keepNext/>
      <w:keepLines/>
      <w:numPr>
        <w:ilvl w:val="8"/>
        <w:numId w:val="1"/>
      </w:numPr>
      <w:spacing w:before="240" w:after="64" w:line="320" w:lineRule="auto"/>
      <w:outlineLvl w:val="8"/>
    </w:pPr>
    <w:rPr>
      <w:rFonts w:ascii="Arial" w:hAnsi="Arial" w:eastAsia="黑体"/>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3"/>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unhideWhenUsed/>
    <w:qFormat/>
    <w:uiPriority w:val="0"/>
    <w:pPr>
      <w:ind w:left="2520" w:leftChars="1200"/>
    </w:pPr>
    <w:rPr>
      <w:rFonts w:ascii="Calibri" w:hAnsi="Calibri"/>
      <w:szCs w:val="22"/>
    </w:rPr>
  </w:style>
  <w:style w:type="paragraph" w:styleId="14">
    <w:name w:val="index 8"/>
    <w:basedOn w:val="1"/>
    <w:next w:val="1"/>
    <w:qFormat/>
    <w:uiPriority w:val="0"/>
    <w:pPr>
      <w:ind w:left="2940"/>
    </w:pPr>
  </w:style>
  <w:style w:type="paragraph" w:styleId="15">
    <w:name w:val="List Number"/>
    <w:basedOn w:val="1"/>
    <w:qFormat/>
    <w:uiPriority w:val="0"/>
    <w:pPr>
      <w:tabs>
        <w:tab w:val="left" w:pos="454"/>
        <w:tab w:val="left" w:pos="720"/>
        <w:tab w:val="left" w:pos="840"/>
      </w:tabs>
      <w:spacing w:after="50" w:afterLines="50"/>
      <w:ind w:left="454" w:hanging="284"/>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semiHidden/>
    <w:qFormat/>
    <w:uiPriority w:val="0"/>
    <w:pPr>
      <w:shd w:val="clear" w:color="auto" w:fill="000080"/>
    </w:pPr>
  </w:style>
  <w:style w:type="paragraph" w:styleId="18">
    <w:name w:val="toa heading"/>
    <w:basedOn w:val="1"/>
    <w:next w:val="1"/>
    <w:qFormat/>
    <w:uiPriority w:val="0"/>
    <w:pPr>
      <w:spacing w:before="120"/>
    </w:pPr>
    <w:rPr>
      <w:rFonts w:ascii="Arial" w:hAnsi="Arial"/>
      <w:sz w:val="24"/>
    </w:rPr>
  </w:style>
  <w:style w:type="paragraph" w:styleId="19">
    <w:name w:val="annotation text"/>
    <w:basedOn w:val="1"/>
    <w:link w:val="81"/>
    <w:qFormat/>
    <w:uiPriority w:val="0"/>
  </w:style>
  <w:style w:type="paragraph" w:styleId="20">
    <w:name w:val="Body Text 3"/>
    <w:basedOn w:val="1"/>
    <w:link w:val="82"/>
    <w:qFormat/>
    <w:uiPriority w:val="0"/>
    <w:pPr>
      <w:spacing w:line="500" w:lineRule="exact"/>
    </w:pPr>
    <w:rPr>
      <w:b/>
      <w:bCs/>
      <w:sz w:val="24"/>
    </w:rPr>
  </w:style>
  <w:style w:type="paragraph" w:styleId="21">
    <w:name w:val="Body Text"/>
    <w:basedOn w:val="1"/>
    <w:link w:val="83"/>
    <w:unhideWhenUsed/>
    <w:qFormat/>
    <w:uiPriority w:val="99"/>
    <w:pPr>
      <w:spacing w:after="120"/>
    </w:pPr>
  </w:style>
  <w:style w:type="paragraph" w:styleId="22">
    <w:name w:val="Body Text Indent"/>
    <w:basedOn w:val="1"/>
    <w:link w:val="84"/>
    <w:qFormat/>
    <w:uiPriority w:val="0"/>
    <w:pPr>
      <w:ind w:firstLine="830" w:firstLineChars="352"/>
    </w:pPr>
    <w:rPr>
      <w:rFonts w:ascii="仿宋_GB2312" w:eastAsia="仿宋_GB2312"/>
      <w:kern w:val="0"/>
      <w:sz w:val="32"/>
      <w:szCs w:val="20"/>
    </w:rPr>
  </w:style>
  <w:style w:type="paragraph" w:styleId="23">
    <w:name w:val="List Number 3"/>
    <w:basedOn w:val="1"/>
    <w:qFormat/>
    <w:uiPriority w:val="0"/>
    <w:pPr>
      <w:numPr>
        <w:ilvl w:val="0"/>
        <w:numId w:val="2"/>
      </w:numPr>
    </w:pPr>
  </w:style>
  <w:style w:type="paragraph" w:styleId="24">
    <w:name w:val="List 2"/>
    <w:basedOn w:val="1"/>
    <w:qFormat/>
    <w:uiPriority w:val="0"/>
    <w:pPr>
      <w:ind w:left="100" w:leftChars="200" w:hanging="200" w:hangingChars="200"/>
    </w:pPr>
    <w:rPr>
      <w:sz w:val="28"/>
    </w:rPr>
  </w:style>
  <w:style w:type="paragraph" w:styleId="25">
    <w:name w:val="toc 5"/>
    <w:basedOn w:val="1"/>
    <w:next w:val="1"/>
    <w:unhideWhenUsed/>
    <w:qFormat/>
    <w:uiPriority w:val="0"/>
    <w:pPr>
      <w:ind w:left="1680" w:leftChars="800"/>
    </w:pPr>
    <w:rPr>
      <w:rFonts w:ascii="Calibri" w:hAnsi="Calibri"/>
      <w:szCs w:val="22"/>
    </w:rPr>
  </w:style>
  <w:style w:type="paragraph" w:styleId="26">
    <w:name w:val="toc 3"/>
    <w:basedOn w:val="1"/>
    <w:next w:val="1"/>
    <w:unhideWhenUsed/>
    <w:qFormat/>
    <w:uiPriority w:val="39"/>
    <w:pPr>
      <w:ind w:left="840" w:leftChars="400"/>
    </w:pPr>
    <w:rPr>
      <w:rFonts w:ascii="Calibri" w:hAnsi="Calibri"/>
      <w:szCs w:val="22"/>
    </w:rPr>
  </w:style>
  <w:style w:type="paragraph" w:styleId="27">
    <w:name w:val="Plain Text"/>
    <w:basedOn w:val="1"/>
    <w:next w:val="6"/>
    <w:link w:val="85"/>
    <w:qFormat/>
    <w:uiPriority w:val="0"/>
    <w:rPr>
      <w:rFonts w:ascii="宋体" w:hAnsi="Courier New"/>
      <w:kern w:val="0"/>
      <w:sz w:val="20"/>
      <w:szCs w:val="21"/>
    </w:rPr>
  </w:style>
  <w:style w:type="paragraph" w:styleId="28">
    <w:name w:val="toc 8"/>
    <w:basedOn w:val="1"/>
    <w:next w:val="1"/>
    <w:unhideWhenUsed/>
    <w:qFormat/>
    <w:uiPriority w:val="0"/>
    <w:pPr>
      <w:ind w:left="2940" w:leftChars="1400"/>
    </w:pPr>
    <w:rPr>
      <w:rFonts w:ascii="Calibri" w:hAnsi="Calibri"/>
      <w:szCs w:val="22"/>
    </w:rPr>
  </w:style>
  <w:style w:type="paragraph" w:styleId="29">
    <w:name w:val="Date"/>
    <w:basedOn w:val="1"/>
    <w:next w:val="1"/>
    <w:link w:val="86"/>
    <w:unhideWhenUsed/>
    <w:qFormat/>
    <w:uiPriority w:val="99"/>
    <w:pPr>
      <w:ind w:left="100" w:leftChars="2500"/>
    </w:pPr>
  </w:style>
  <w:style w:type="paragraph" w:styleId="30">
    <w:name w:val="Body Text Indent 2"/>
    <w:basedOn w:val="1"/>
    <w:link w:val="87"/>
    <w:qFormat/>
    <w:uiPriority w:val="0"/>
    <w:pPr>
      <w:ind w:firstLine="630"/>
    </w:pPr>
    <w:rPr>
      <w:sz w:val="32"/>
      <w:szCs w:val="20"/>
    </w:rPr>
  </w:style>
  <w:style w:type="paragraph" w:styleId="31">
    <w:name w:val="endnote text"/>
    <w:basedOn w:val="1"/>
    <w:unhideWhenUsed/>
    <w:qFormat/>
    <w:uiPriority w:val="0"/>
    <w:pPr>
      <w:snapToGrid w:val="0"/>
    </w:pPr>
  </w:style>
  <w:style w:type="paragraph" w:styleId="32">
    <w:name w:val="Balloon Text"/>
    <w:basedOn w:val="1"/>
    <w:semiHidden/>
    <w:qFormat/>
    <w:uiPriority w:val="0"/>
    <w:rPr>
      <w:sz w:val="18"/>
      <w:szCs w:val="18"/>
    </w:rPr>
  </w:style>
  <w:style w:type="paragraph" w:styleId="33">
    <w:name w:val="footer"/>
    <w:basedOn w:val="1"/>
    <w:next w:val="1"/>
    <w:link w:val="88"/>
    <w:unhideWhenUsed/>
    <w:qFormat/>
    <w:uiPriority w:val="99"/>
    <w:pPr>
      <w:tabs>
        <w:tab w:val="center" w:pos="4153"/>
        <w:tab w:val="right" w:pos="8306"/>
      </w:tabs>
      <w:snapToGrid w:val="0"/>
    </w:pPr>
    <w:rPr>
      <w:kern w:val="0"/>
      <w:sz w:val="18"/>
      <w:szCs w:val="18"/>
    </w:rPr>
  </w:style>
  <w:style w:type="paragraph" w:styleId="34">
    <w:name w:val="envelope return"/>
    <w:basedOn w:val="1"/>
    <w:unhideWhenUsed/>
    <w:qFormat/>
    <w:uiPriority w:val="99"/>
    <w:pPr>
      <w:snapToGrid w:val="0"/>
    </w:pPr>
    <w:rPr>
      <w:rFonts w:ascii="Arial" w:hAnsi="Arial" w:cs="Arial"/>
    </w:rPr>
  </w:style>
  <w:style w:type="paragraph" w:styleId="35">
    <w:name w:val="header"/>
    <w:basedOn w:val="1"/>
    <w:link w:val="8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36">
    <w:name w:val="toc 1"/>
    <w:basedOn w:val="1"/>
    <w:next w:val="1"/>
    <w:unhideWhenUsed/>
    <w:qFormat/>
    <w:uiPriority w:val="39"/>
  </w:style>
  <w:style w:type="paragraph" w:styleId="37">
    <w:name w:val="toc 4"/>
    <w:basedOn w:val="1"/>
    <w:next w:val="1"/>
    <w:unhideWhenUsed/>
    <w:qFormat/>
    <w:uiPriority w:val="0"/>
    <w:pPr>
      <w:ind w:left="1260" w:leftChars="600"/>
    </w:pPr>
    <w:rPr>
      <w:rFonts w:ascii="Calibri" w:hAnsi="Calibri"/>
      <w:szCs w:val="22"/>
    </w:rPr>
  </w:style>
  <w:style w:type="paragraph" w:styleId="38">
    <w:name w:val="index heading"/>
    <w:basedOn w:val="1"/>
    <w:next w:val="39"/>
    <w:semiHidden/>
    <w:qFormat/>
    <w:uiPriority w:val="0"/>
    <w:rPr>
      <w:szCs w:val="20"/>
    </w:rPr>
  </w:style>
  <w:style w:type="paragraph" w:styleId="39">
    <w:name w:val="index 1"/>
    <w:basedOn w:val="1"/>
    <w:next w:val="1"/>
    <w:semiHidden/>
    <w:qFormat/>
    <w:uiPriority w:val="0"/>
    <w:pPr>
      <w:ind w:firstLine="315" w:firstLineChars="150"/>
    </w:pPr>
    <w:rPr>
      <w:rFonts w:ascii="宋体" w:hAnsi="宋体"/>
      <w:bCs/>
      <w:szCs w:val="21"/>
    </w:rPr>
  </w:style>
  <w:style w:type="paragraph" w:styleId="40">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41">
    <w:name w:val="List"/>
    <w:basedOn w:val="1"/>
    <w:qFormat/>
    <w:uiPriority w:val="0"/>
    <w:pPr>
      <w:ind w:left="200" w:hanging="200" w:hangingChars="200"/>
    </w:pPr>
    <w:rPr>
      <w:sz w:val="28"/>
    </w:rPr>
  </w:style>
  <w:style w:type="paragraph" w:styleId="42">
    <w:name w:val="footnote text"/>
    <w:basedOn w:val="1"/>
    <w:unhideWhenUsed/>
    <w:qFormat/>
    <w:uiPriority w:val="0"/>
    <w:pPr>
      <w:snapToGrid w:val="0"/>
    </w:pPr>
    <w:rPr>
      <w:sz w:val="18"/>
      <w:szCs w:val="18"/>
    </w:rPr>
  </w:style>
  <w:style w:type="paragraph" w:styleId="43">
    <w:name w:val="toc 6"/>
    <w:basedOn w:val="1"/>
    <w:next w:val="1"/>
    <w:unhideWhenUsed/>
    <w:qFormat/>
    <w:uiPriority w:val="0"/>
    <w:pPr>
      <w:ind w:left="2100" w:leftChars="1000"/>
    </w:pPr>
    <w:rPr>
      <w:rFonts w:ascii="Calibri" w:hAnsi="Calibri"/>
      <w:szCs w:val="22"/>
    </w:rPr>
  </w:style>
  <w:style w:type="paragraph" w:styleId="44">
    <w:name w:val="Body Text Indent 3"/>
    <w:basedOn w:val="1"/>
    <w:link w:val="90"/>
    <w:qFormat/>
    <w:uiPriority w:val="0"/>
    <w:pPr>
      <w:spacing w:after="120"/>
      <w:ind w:left="420" w:leftChars="200"/>
    </w:pPr>
    <w:rPr>
      <w:sz w:val="16"/>
      <w:szCs w:val="16"/>
    </w:rPr>
  </w:style>
  <w:style w:type="paragraph" w:styleId="45">
    <w:name w:val="toc 2"/>
    <w:basedOn w:val="1"/>
    <w:next w:val="1"/>
    <w:unhideWhenUsed/>
    <w:qFormat/>
    <w:uiPriority w:val="39"/>
    <w:pPr>
      <w:ind w:left="420" w:leftChars="200"/>
    </w:pPr>
  </w:style>
  <w:style w:type="paragraph" w:styleId="46">
    <w:name w:val="toc 9"/>
    <w:basedOn w:val="1"/>
    <w:next w:val="1"/>
    <w:unhideWhenUsed/>
    <w:qFormat/>
    <w:uiPriority w:val="0"/>
    <w:pPr>
      <w:ind w:left="3360" w:leftChars="1600"/>
    </w:pPr>
    <w:rPr>
      <w:rFonts w:ascii="Calibri" w:hAnsi="Calibri"/>
      <w:szCs w:val="22"/>
    </w:rPr>
  </w:style>
  <w:style w:type="paragraph" w:styleId="47">
    <w:name w:val="Body Text 2"/>
    <w:basedOn w:val="1"/>
    <w:link w:val="91"/>
    <w:qFormat/>
    <w:uiPriority w:val="0"/>
    <w:pPr>
      <w:spacing w:after="120" w:line="480" w:lineRule="auto"/>
    </w:pPr>
  </w:style>
  <w:style w:type="paragraph" w:styleId="4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rPr>
  </w:style>
  <w:style w:type="paragraph" w:styleId="49">
    <w:name w:val="Normal (Web)"/>
    <w:basedOn w:val="1"/>
    <w:qFormat/>
    <w:uiPriority w:val="0"/>
    <w:pPr>
      <w:spacing w:before="100" w:beforeAutospacing="1" w:after="100" w:afterAutospacing="1"/>
    </w:pPr>
    <w:rPr>
      <w:rFonts w:ascii="宋体" w:hAnsi="宋体"/>
      <w:kern w:val="0"/>
      <w:sz w:val="24"/>
    </w:rPr>
  </w:style>
  <w:style w:type="paragraph" w:styleId="50">
    <w:name w:val="Title"/>
    <w:basedOn w:val="1"/>
    <w:next w:val="1"/>
    <w:link w:val="92"/>
    <w:qFormat/>
    <w:uiPriority w:val="0"/>
    <w:pPr>
      <w:spacing w:before="240" w:after="60"/>
      <w:jc w:val="center"/>
      <w:outlineLvl w:val="0"/>
    </w:pPr>
    <w:rPr>
      <w:rFonts w:ascii="Cambria" w:hAnsi="Cambria"/>
      <w:b/>
      <w:bCs/>
      <w:sz w:val="32"/>
      <w:szCs w:val="32"/>
    </w:rPr>
  </w:style>
  <w:style w:type="paragraph" w:styleId="51">
    <w:name w:val="annotation subject"/>
    <w:basedOn w:val="19"/>
    <w:next w:val="19"/>
    <w:semiHidden/>
    <w:qFormat/>
    <w:uiPriority w:val="0"/>
    <w:rPr>
      <w:b/>
      <w:bCs/>
    </w:rPr>
  </w:style>
  <w:style w:type="paragraph" w:styleId="52">
    <w:name w:val="Body Text First Indent"/>
    <w:basedOn w:val="21"/>
    <w:next w:val="1"/>
    <w:link w:val="93"/>
    <w:qFormat/>
    <w:uiPriority w:val="0"/>
    <w:pPr>
      <w:ind w:firstLine="420" w:firstLineChars="100"/>
    </w:pPr>
    <w:rPr>
      <w:rFonts w:ascii="宋体" w:hAnsi="Courier New"/>
      <w:kern w:val="0"/>
      <w:sz w:val="20"/>
      <w:szCs w:val="21"/>
    </w:rPr>
  </w:style>
  <w:style w:type="paragraph" w:styleId="53">
    <w:name w:val="Body Text First Indent 2"/>
    <w:basedOn w:val="22"/>
    <w:unhideWhenUsed/>
    <w:qFormat/>
    <w:uiPriority w:val="0"/>
    <w:pPr>
      <w:autoSpaceDE w:val="0"/>
      <w:autoSpaceDN w:val="0"/>
      <w:adjustRightInd w:val="0"/>
      <w:spacing w:after="120" w:line="240" w:lineRule="auto"/>
      <w:ind w:left="420" w:leftChars="200" w:firstLine="420" w:firstLineChars="200"/>
    </w:pPr>
    <w:rPr>
      <w:szCs w:val="24"/>
    </w:rPr>
  </w:style>
  <w:style w:type="table" w:styleId="55">
    <w:name w:val="Table Grid"/>
    <w:basedOn w:val="5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7">
    <w:name w:val="Strong"/>
    <w:qFormat/>
    <w:uiPriority w:val="0"/>
    <w:rPr>
      <w:rFonts w:ascii="Tahoma" w:hAnsi="Tahoma" w:eastAsia="宋体"/>
      <w:b/>
      <w:bCs/>
      <w:spacing w:val="10"/>
      <w:kern w:val="2"/>
      <w:sz w:val="24"/>
      <w:szCs w:val="24"/>
      <w:lang w:val="en-US" w:eastAsia="zh-CN" w:bidi="ar-SA"/>
    </w:rPr>
  </w:style>
  <w:style w:type="character" w:styleId="58">
    <w:name w:val="page number"/>
    <w:qFormat/>
    <w:uiPriority w:val="99"/>
  </w:style>
  <w:style w:type="character" w:styleId="59">
    <w:name w:val="FollowedHyperlink"/>
    <w:unhideWhenUsed/>
    <w:qFormat/>
    <w:uiPriority w:val="99"/>
    <w:rPr>
      <w:color w:val="333333"/>
      <w:u w:val="none"/>
    </w:rPr>
  </w:style>
  <w:style w:type="character" w:styleId="60">
    <w:name w:val="Emphasis"/>
    <w:qFormat/>
    <w:uiPriority w:val="20"/>
  </w:style>
  <w:style w:type="character" w:styleId="61">
    <w:name w:val="HTML Definition"/>
    <w:unhideWhenUsed/>
    <w:qFormat/>
    <w:uiPriority w:val="99"/>
  </w:style>
  <w:style w:type="character" w:styleId="62">
    <w:name w:val="HTML Acronym"/>
    <w:unhideWhenUsed/>
    <w:qFormat/>
    <w:uiPriority w:val="99"/>
  </w:style>
  <w:style w:type="character" w:styleId="63">
    <w:name w:val="HTML Variable"/>
    <w:unhideWhenUsed/>
    <w:qFormat/>
    <w:uiPriority w:val="99"/>
  </w:style>
  <w:style w:type="character" w:styleId="64">
    <w:name w:val="Hyperlink"/>
    <w:unhideWhenUsed/>
    <w:qFormat/>
    <w:uiPriority w:val="99"/>
    <w:rPr>
      <w:color w:val="333333"/>
      <w:u w:val="none"/>
    </w:rPr>
  </w:style>
  <w:style w:type="character" w:styleId="65">
    <w:name w:val="HTML Code"/>
    <w:unhideWhenUsed/>
    <w:qFormat/>
    <w:uiPriority w:val="99"/>
    <w:rPr>
      <w:rFonts w:ascii="Courier New" w:hAnsi="Courier New"/>
      <w:color w:val="505050"/>
      <w:sz w:val="24"/>
      <w:szCs w:val="24"/>
    </w:rPr>
  </w:style>
  <w:style w:type="character" w:styleId="66">
    <w:name w:val="annotation reference"/>
    <w:qFormat/>
    <w:uiPriority w:val="0"/>
    <w:rPr>
      <w:sz w:val="21"/>
      <w:szCs w:val="21"/>
    </w:rPr>
  </w:style>
  <w:style w:type="character" w:styleId="67">
    <w:name w:val="HTML Cite"/>
    <w:unhideWhenUsed/>
    <w:qFormat/>
    <w:uiPriority w:val="99"/>
  </w:style>
  <w:style w:type="paragraph" w:customStyle="1" w:styleId="68">
    <w:name w:val="Default"/>
    <w:qFormat/>
    <w:uiPriority w:val="0"/>
    <w:pPr>
      <w:widowControl w:val="0"/>
      <w:autoSpaceDE w:val="0"/>
      <w:autoSpaceDN w:val="0"/>
      <w:adjustRightInd w:val="0"/>
      <w:spacing w:line="320" w:lineRule="exact"/>
    </w:pPr>
    <w:rPr>
      <w:rFonts w:ascii="Times New Roman" w:hAnsi="Times New Roman" w:eastAsia="宋体" w:cs="Times New Roman"/>
      <w:color w:val="000000"/>
      <w:sz w:val="24"/>
      <w:szCs w:val="24"/>
      <w:lang w:val="en-US" w:eastAsia="zh-CN" w:bidi="ar-SA"/>
    </w:rPr>
  </w:style>
  <w:style w:type="paragraph" w:customStyle="1" w:styleId="69">
    <w:name w:val="表格文字"/>
    <w:basedOn w:val="70"/>
    <w:next w:val="21"/>
    <w:qFormat/>
    <w:uiPriority w:val="0"/>
    <w:pPr>
      <w:spacing w:before="25" w:after="25"/>
    </w:pPr>
    <w:rPr>
      <w:bCs/>
      <w:spacing w:val="10"/>
    </w:rPr>
  </w:style>
  <w:style w:type="paragraph" w:customStyle="1" w:styleId="70">
    <w:name w:val="表格"/>
    <w:basedOn w:val="1"/>
    <w:qFormat/>
    <w:uiPriority w:val="0"/>
    <w:pPr>
      <w:spacing w:line="400" w:lineRule="exact"/>
    </w:pPr>
    <w:rPr>
      <w:sz w:val="24"/>
    </w:rPr>
  </w:style>
  <w:style w:type="character" w:customStyle="1" w:styleId="71">
    <w:name w:val="标题 1 字符"/>
    <w:link w:val="2"/>
    <w:qFormat/>
    <w:uiPriority w:val="0"/>
    <w:rPr>
      <w:rFonts w:eastAsia="宋体"/>
      <w:b/>
      <w:bCs/>
      <w:kern w:val="44"/>
      <w:sz w:val="44"/>
      <w:szCs w:val="44"/>
      <w:lang w:val="en-US" w:eastAsia="zh-CN" w:bidi="ar-SA"/>
    </w:rPr>
  </w:style>
  <w:style w:type="character" w:customStyle="1" w:styleId="72">
    <w:name w:val="标题 2 字符"/>
    <w:link w:val="3"/>
    <w:qFormat/>
    <w:uiPriority w:val="9"/>
    <w:rPr>
      <w:rFonts w:ascii="Cambria" w:hAnsi="Cambria" w:eastAsia="宋体" w:cs="Times New Roman"/>
      <w:b/>
      <w:bCs/>
      <w:kern w:val="2"/>
      <w:sz w:val="32"/>
      <w:szCs w:val="32"/>
    </w:rPr>
  </w:style>
  <w:style w:type="character" w:customStyle="1" w:styleId="73">
    <w:name w:val="正文缩进 字符"/>
    <w:link w:val="4"/>
    <w:qFormat/>
    <w:uiPriority w:val="0"/>
    <w:rPr>
      <w:rFonts w:eastAsia="宋体"/>
      <w:kern w:val="2"/>
      <w:sz w:val="21"/>
      <w:lang w:val="en-US" w:eastAsia="zh-CN" w:bidi="ar-SA"/>
    </w:rPr>
  </w:style>
  <w:style w:type="character" w:customStyle="1" w:styleId="74">
    <w:name w:val="标题 3 字符"/>
    <w:link w:val="5"/>
    <w:qFormat/>
    <w:uiPriority w:val="0"/>
    <w:rPr>
      <w:rFonts w:eastAsia="宋体"/>
      <w:b/>
      <w:bCs/>
      <w:kern w:val="2"/>
      <w:sz w:val="32"/>
      <w:szCs w:val="32"/>
      <w:lang w:val="en-US" w:eastAsia="zh-CN" w:bidi="ar-SA"/>
    </w:rPr>
  </w:style>
  <w:style w:type="character" w:customStyle="1" w:styleId="75">
    <w:name w:val="标题 4 字符"/>
    <w:link w:val="6"/>
    <w:qFormat/>
    <w:uiPriority w:val="0"/>
    <w:rPr>
      <w:rFonts w:ascii="Arial" w:hAnsi="Arial" w:eastAsia="黑体"/>
      <w:b/>
      <w:bCs/>
      <w:kern w:val="2"/>
      <w:sz w:val="28"/>
      <w:szCs w:val="28"/>
      <w:lang w:val="en-US" w:eastAsia="zh-CN" w:bidi="ar-SA"/>
    </w:rPr>
  </w:style>
  <w:style w:type="character" w:customStyle="1" w:styleId="76">
    <w:name w:val="标题 5 字符"/>
    <w:link w:val="7"/>
    <w:qFormat/>
    <w:uiPriority w:val="0"/>
    <w:rPr>
      <w:rFonts w:eastAsia="宋体"/>
      <w:b/>
      <w:kern w:val="2"/>
      <w:sz w:val="28"/>
      <w:szCs w:val="24"/>
      <w:lang w:val="en-US" w:eastAsia="zh-CN" w:bidi="ar-SA"/>
    </w:rPr>
  </w:style>
  <w:style w:type="character" w:customStyle="1" w:styleId="77">
    <w:name w:val="标题 6 字符"/>
    <w:link w:val="8"/>
    <w:qFormat/>
    <w:uiPriority w:val="0"/>
    <w:rPr>
      <w:rFonts w:ascii="Arial" w:hAnsi="Arial" w:eastAsia="黑体"/>
      <w:b/>
      <w:kern w:val="2"/>
      <w:sz w:val="24"/>
      <w:szCs w:val="24"/>
      <w:lang w:val="en-US" w:eastAsia="zh-CN" w:bidi="ar-SA"/>
    </w:rPr>
  </w:style>
  <w:style w:type="character" w:customStyle="1" w:styleId="78">
    <w:name w:val="标题 7 字符"/>
    <w:link w:val="9"/>
    <w:qFormat/>
    <w:uiPriority w:val="0"/>
    <w:rPr>
      <w:rFonts w:eastAsia="宋体"/>
      <w:b/>
      <w:kern w:val="2"/>
      <w:sz w:val="24"/>
      <w:szCs w:val="24"/>
      <w:lang w:val="en-US" w:eastAsia="zh-CN" w:bidi="ar-SA"/>
    </w:rPr>
  </w:style>
  <w:style w:type="character" w:customStyle="1" w:styleId="79">
    <w:name w:val="标题 8 字符"/>
    <w:link w:val="10"/>
    <w:qFormat/>
    <w:uiPriority w:val="0"/>
    <w:rPr>
      <w:rFonts w:ascii="Arial" w:hAnsi="Arial" w:eastAsia="黑体"/>
      <w:kern w:val="2"/>
      <w:sz w:val="24"/>
      <w:szCs w:val="24"/>
      <w:lang w:val="en-US" w:eastAsia="zh-CN" w:bidi="ar-SA"/>
    </w:rPr>
  </w:style>
  <w:style w:type="character" w:customStyle="1" w:styleId="80">
    <w:name w:val="标题 9 字符"/>
    <w:link w:val="11"/>
    <w:qFormat/>
    <w:uiPriority w:val="0"/>
    <w:rPr>
      <w:rFonts w:ascii="Arial" w:hAnsi="Arial" w:eastAsia="黑体"/>
      <w:kern w:val="2"/>
      <w:sz w:val="21"/>
      <w:szCs w:val="24"/>
      <w:lang w:val="en-US" w:eastAsia="zh-CN" w:bidi="ar-SA"/>
    </w:rPr>
  </w:style>
  <w:style w:type="character" w:customStyle="1" w:styleId="81">
    <w:name w:val="批注文字 字符"/>
    <w:link w:val="19"/>
    <w:qFormat/>
    <w:uiPriority w:val="0"/>
    <w:rPr>
      <w:rFonts w:ascii="Times New Roman" w:hAnsi="Times New Roman"/>
      <w:kern w:val="2"/>
      <w:sz w:val="21"/>
      <w:szCs w:val="24"/>
    </w:rPr>
  </w:style>
  <w:style w:type="character" w:customStyle="1" w:styleId="82">
    <w:name w:val="正文文本 3 字符"/>
    <w:link w:val="20"/>
    <w:qFormat/>
    <w:uiPriority w:val="0"/>
    <w:rPr>
      <w:rFonts w:eastAsia="宋体"/>
      <w:b/>
      <w:bCs/>
      <w:kern w:val="2"/>
      <w:sz w:val="24"/>
      <w:szCs w:val="24"/>
      <w:lang w:val="en-US" w:eastAsia="zh-CN" w:bidi="ar-SA"/>
    </w:rPr>
  </w:style>
  <w:style w:type="character" w:customStyle="1" w:styleId="83">
    <w:name w:val="正文文本 字符"/>
    <w:link w:val="21"/>
    <w:qFormat/>
    <w:uiPriority w:val="99"/>
    <w:rPr>
      <w:rFonts w:ascii="Times New Roman" w:hAnsi="Times New Roman"/>
      <w:kern w:val="2"/>
      <w:sz w:val="21"/>
      <w:szCs w:val="24"/>
    </w:rPr>
  </w:style>
  <w:style w:type="character" w:customStyle="1" w:styleId="84">
    <w:name w:val="正文文本缩进 字符"/>
    <w:link w:val="22"/>
    <w:qFormat/>
    <w:uiPriority w:val="0"/>
    <w:rPr>
      <w:rFonts w:ascii="仿宋_GB2312" w:hAnsi="Times New Roman" w:eastAsia="仿宋_GB2312" w:cs="Times New Roman"/>
      <w:sz w:val="32"/>
      <w:szCs w:val="20"/>
    </w:rPr>
  </w:style>
  <w:style w:type="character" w:customStyle="1" w:styleId="85">
    <w:name w:val="纯文本 字符"/>
    <w:link w:val="27"/>
    <w:qFormat/>
    <w:uiPriority w:val="0"/>
    <w:rPr>
      <w:rFonts w:ascii="宋体" w:hAnsi="Courier New" w:eastAsia="宋体" w:cs="Courier New"/>
      <w:szCs w:val="21"/>
    </w:rPr>
  </w:style>
  <w:style w:type="character" w:customStyle="1" w:styleId="86">
    <w:name w:val="日期 字符"/>
    <w:link w:val="29"/>
    <w:semiHidden/>
    <w:qFormat/>
    <w:uiPriority w:val="99"/>
    <w:rPr>
      <w:rFonts w:ascii="Times New Roman" w:hAnsi="Times New Roman"/>
      <w:kern w:val="2"/>
      <w:sz w:val="21"/>
      <w:szCs w:val="24"/>
    </w:rPr>
  </w:style>
  <w:style w:type="character" w:customStyle="1" w:styleId="87">
    <w:name w:val="正文文本缩进 2 字符"/>
    <w:link w:val="30"/>
    <w:qFormat/>
    <w:uiPriority w:val="0"/>
    <w:rPr>
      <w:rFonts w:eastAsia="宋体"/>
      <w:kern w:val="2"/>
      <w:sz w:val="32"/>
      <w:lang w:val="en-US" w:eastAsia="zh-CN" w:bidi="ar-SA"/>
    </w:rPr>
  </w:style>
  <w:style w:type="character" w:customStyle="1" w:styleId="88">
    <w:name w:val="页脚 字符"/>
    <w:link w:val="33"/>
    <w:qFormat/>
    <w:uiPriority w:val="99"/>
    <w:rPr>
      <w:sz w:val="18"/>
      <w:szCs w:val="18"/>
    </w:rPr>
  </w:style>
  <w:style w:type="character" w:customStyle="1" w:styleId="89">
    <w:name w:val="页眉 字符"/>
    <w:link w:val="35"/>
    <w:qFormat/>
    <w:uiPriority w:val="99"/>
    <w:rPr>
      <w:sz w:val="18"/>
      <w:szCs w:val="18"/>
    </w:rPr>
  </w:style>
  <w:style w:type="character" w:customStyle="1" w:styleId="90">
    <w:name w:val="正文文本缩进 3 字符"/>
    <w:link w:val="44"/>
    <w:qFormat/>
    <w:uiPriority w:val="0"/>
    <w:rPr>
      <w:rFonts w:eastAsia="宋体"/>
      <w:kern w:val="2"/>
      <w:sz w:val="16"/>
      <w:szCs w:val="16"/>
      <w:lang w:val="en-US" w:eastAsia="zh-CN" w:bidi="ar-SA"/>
    </w:rPr>
  </w:style>
  <w:style w:type="character" w:customStyle="1" w:styleId="91">
    <w:name w:val="正文文本 2 字符"/>
    <w:link w:val="47"/>
    <w:qFormat/>
    <w:uiPriority w:val="0"/>
    <w:rPr>
      <w:rFonts w:eastAsia="宋体"/>
      <w:kern w:val="2"/>
      <w:sz w:val="21"/>
      <w:szCs w:val="24"/>
      <w:lang w:val="en-US" w:eastAsia="zh-CN" w:bidi="ar-SA"/>
    </w:rPr>
  </w:style>
  <w:style w:type="character" w:customStyle="1" w:styleId="92">
    <w:name w:val="标题 字符"/>
    <w:link w:val="50"/>
    <w:qFormat/>
    <w:uiPriority w:val="0"/>
    <w:rPr>
      <w:rFonts w:ascii="Cambria" w:hAnsi="Cambria"/>
      <w:b/>
      <w:bCs/>
      <w:kern w:val="2"/>
      <w:sz w:val="32"/>
      <w:szCs w:val="32"/>
    </w:rPr>
  </w:style>
  <w:style w:type="character" w:customStyle="1" w:styleId="93">
    <w:name w:val="正文首行缩进 字符"/>
    <w:link w:val="52"/>
    <w:qFormat/>
    <w:uiPriority w:val="0"/>
    <w:rPr>
      <w:rFonts w:ascii="宋体" w:hAnsi="Courier New" w:eastAsia="宋体" w:cs="Courier New"/>
      <w:szCs w:val="21"/>
    </w:rPr>
  </w:style>
  <w:style w:type="character" w:customStyle="1" w:styleId="94">
    <w:name w:val="apple-converted-space"/>
    <w:qFormat/>
    <w:uiPriority w:val="0"/>
  </w:style>
  <w:style w:type="character" w:customStyle="1" w:styleId="95">
    <w:name w:val="Char Char16"/>
    <w:qFormat/>
    <w:uiPriority w:val="0"/>
    <w:rPr>
      <w:rFonts w:ascii="Calibri" w:hAnsi="Calibri" w:eastAsia="宋体" w:cs="Times New Roman"/>
      <w:b/>
      <w:bCs/>
      <w:sz w:val="24"/>
      <w:szCs w:val="24"/>
    </w:rPr>
  </w:style>
  <w:style w:type="character" w:customStyle="1" w:styleId="96">
    <w:name w:val="普通文字 Char Char2"/>
    <w:qFormat/>
    <w:uiPriority w:val="0"/>
    <w:rPr>
      <w:rFonts w:ascii="宋体" w:hAnsi="Courier New" w:eastAsia="宋体"/>
      <w:kern w:val="2"/>
      <w:sz w:val="21"/>
      <w:lang w:val="en-US" w:eastAsia="zh-CN" w:bidi="ar-SA"/>
    </w:rPr>
  </w:style>
  <w:style w:type="character" w:customStyle="1" w:styleId="97">
    <w:name w:val="无缩进 Char"/>
    <w:qFormat/>
    <w:uiPriority w:val="0"/>
    <w:rPr>
      <w:rFonts w:ascii="Times New Roman" w:hAnsi="Times New Roman" w:eastAsia="宋体" w:cs="Times New Roman"/>
      <w:kern w:val="2"/>
      <w:sz w:val="21"/>
      <w:szCs w:val="20"/>
    </w:rPr>
  </w:style>
  <w:style w:type="character" w:customStyle="1" w:styleId="98">
    <w:name w:val="Char Char11"/>
    <w:qFormat/>
    <w:uiPriority w:val="0"/>
    <w:rPr>
      <w:rFonts w:ascii="Times New Roman" w:hAnsi="Times New Roman" w:eastAsia="宋体" w:cs="Times New Roman"/>
      <w:kern w:val="2"/>
      <w:sz w:val="21"/>
      <w:szCs w:val="20"/>
    </w:rPr>
  </w:style>
  <w:style w:type="character" w:customStyle="1" w:styleId="99">
    <w:name w:val="l61"/>
    <w:qFormat/>
    <w:uiPriority w:val="0"/>
    <w:rPr>
      <w:color w:val="5C5C5C"/>
      <w:sz w:val="18"/>
      <w:szCs w:val="18"/>
    </w:rPr>
  </w:style>
  <w:style w:type="character" w:customStyle="1" w:styleId="100">
    <w:name w:val="Char Char12"/>
    <w:qFormat/>
    <w:uiPriority w:val="0"/>
    <w:rPr>
      <w:rFonts w:ascii="Times New Roman" w:hAnsi="Times New Roman" w:eastAsia="宋体" w:cs="Times New Roman"/>
      <w:kern w:val="2"/>
      <w:sz w:val="18"/>
      <w:szCs w:val="18"/>
    </w:rPr>
  </w:style>
  <w:style w:type="character" w:customStyle="1" w:styleId="101">
    <w:name w:val="无间隔 字符"/>
    <w:link w:val="102"/>
    <w:qFormat/>
    <w:uiPriority w:val="0"/>
    <w:rPr>
      <w:rFonts w:eastAsia="Times New Roman"/>
      <w:sz w:val="22"/>
      <w:szCs w:val="22"/>
      <w:lang w:val="en-US" w:eastAsia="zh-CN" w:bidi="ar-SA"/>
    </w:rPr>
  </w:style>
  <w:style w:type="paragraph" w:styleId="102">
    <w:name w:val="No Spacing"/>
    <w:link w:val="101"/>
    <w:qFormat/>
    <w:uiPriority w:val="0"/>
    <w:pPr>
      <w:spacing w:line="320" w:lineRule="exact"/>
    </w:pPr>
    <w:rPr>
      <w:rFonts w:ascii="Times New Roman" w:hAnsi="Times New Roman" w:eastAsia="Times New Roman" w:cs="Times New Roman"/>
      <w:sz w:val="22"/>
      <w:szCs w:val="22"/>
      <w:lang w:val="en-US" w:eastAsia="zh-CN" w:bidi="ar-SA"/>
    </w:rPr>
  </w:style>
  <w:style w:type="character" w:customStyle="1" w:styleId="103">
    <w:name w:val="标题 2 Char"/>
    <w:qFormat/>
    <w:uiPriority w:val="0"/>
    <w:rPr>
      <w:rFonts w:ascii="Cambria" w:hAnsi="Cambria" w:eastAsia="宋体" w:cs="Times New Roman"/>
      <w:b/>
      <w:bCs/>
      <w:color w:val="4F81BD"/>
      <w:kern w:val="2"/>
      <w:sz w:val="26"/>
      <w:szCs w:val="26"/>
    </w:rPr>
  </w:style>
  <w:style w:type="character" w:customStyle="1" w:styleId="104">
    <w:name w:val="四级标题 Char"/>
    <w:link w:val="105"/>
    <w:qFormat/>
    <w:uiPriority w:val="0"/>
    <w:rPr>
      <w:rFonts w:eastAsia="黑体"/>
      <w:b/>
      <w:kern w:val="2"/>
      <w:sz w:val="28"/>
      <w:lang w:bidi="ar-SA"/>
    </w:rPr>
  </w:style>
  <w:style w:type="paragraph" w:customStyle="1" w:styleId="105">
    <w:name w:val="四级标题"/>
    <w:basedOn w:val="1"/>
    <w:link w:val="104"/>
    <w:qFormat/>
    <w:uiPriority w:val="0"/>
    <w:pPr>
      <w:numPr>
        <w:ilvl w:val="0"/>
        <w:numId w:val="3"/>
      </w:numPr>
      <w:spacing w:line="360" w:lineRule="auto"/>
      <w:outlineLvl w:val="3"/>
    </w:pPr>
    <w:rPr>
      <w:rFonts w:eastAsia="黑体"/>
      <w:b/>
      <w:sz w:val="28"/>
      <w:szCs w:val="20"/>
    </w:rPr>
  </w:style>
  <w:style w:type="character" w:customStyle="1" w:styleId="106">
    <w:name w:val="Char Char15"/>
    <w:qFormat/>
    <w:uiPriority w:val="0"/>
    <w:rPr>
      <w:rFonts w:ascii="Cambria" w:hAnsi="Cambria" w:eastAsia="宋体" w:cs="Times New Roman"/>
      <w:sz w:val="24"/>
      <w:szCs w:val="24"/>
    </w:rPr>
  </w:style>
  <w:style w:type="character" w:customStyle="1" w:styleId="107">
    <w:name w:val="标题-3 Char"/>
    <w:link w:val="108"/>
    <w:qFormat/>
    <w:uiPriority w:val="0"/>
    <w:rPr>
      <w:rFonts w:ascii="宋体" w:hAnsi="宋体" w:eastAsia="宋体"/>
      <w:b/>
      <w:sz w:val="24"/>
      <w:szCs w:val="24"/>
      <w:lang w:bidi="ar-SA"/>
    </w:rPr>
  </w:style>
  <w:style w:type="paragraph" w:customStyle="1" w:styleId="108">
    <w:name w:val="标题-3"/>
    <w:basedOn w:val="1"/>
    <w:link w:val="107"/>
    <w:qFormat/>
    <w:uiPriority w:val="0"/>
    <w:pPr>
      <w:spacing w:beforeLines="50" w:afterLines="50"/>
      <w:outlineLvl w:val="2"/>
    </w:pPr>
    <w:rPr>
      <w:rFonts w:ascii="宋体" w:hAnsi="宋体"/>
      <w:b/>
      <w:kern w:val="0"/>
      <w:sz w:val="24"/>
    </w:rPr>
  </w:style>
  <w:style w:type="character" w:customStyle="1" w:styleId="109">
    <w:name w:val="五级标题 Char"/>
    <w:link w:val="110"/>
    <w:qFormat/>
    <w:uiPriority w:val="0"/>
    <w:rPr>
      <w:rFonts w:eastAsia="黑体"/>
      <w:b/>
      <w:kern w:val="2"/>
      <w:sz w:val="28"/>
      <w:lang w:bidi="ar-SA"/>
    </w:rPr>
  </w:style>
  <w:style w:type="paragraph" w:customStyle="1" w:styleId="110">
    <w:name w:val="五级标题"/>
    <w:basedOn w:val="1"/>
    <w:link w:val="109"/>
    <w:qFormat/>
    <w:uiPriority w:val="0"/>
    <w:pPr>
      <w:numPr>
        <w:ilvl w:val="0"/>
        <w:numId w:val="4"/>
      </w:numPr>
      <w:spacing w:line="360" w:lineRule="auto"/>
      <w:outlineLvl w:val="4"/>
    </w:pPr>
    <w:rPr>
      <w:rFonts w:eastAsia="黑体"/>
      <w:b/>
      <w:sz w:val="28"/>
      <w:szCs w:val="20"/>
    </w:rPr>
  </w:style>
  <w:style w:type="character" w:customStyle="1" w:styleId="111">
    <w:name w:val="Char Char14"/>
    <w:qFormat/>
    <w:uiPriority w:val="0"/>
    <w:rPr>
      <w:rFonts w:ascii="Cambria" w:hAnsi="Cambria" w:eastAsia="宋体" w:cs="Times New Roman"/>
      <w:sz w:val="21"/>
      <w:szCs w:val="21"/>
    </w:rPr>
  </w:style>
  <w:style w:type="character" w:customStyle="1" w:styleId="112">
    <w:name w:val="2nd level Char"/>
    <w:qFormat/>
    <w:uiPriority w:val="0"/>
    <w:rPr>
      <w:rFonts w:ascii="Arial" w:hAnsi="Arial" w:eastAsia="黑体" w:cs="Times New Roman"/>
      <w:b/>
      <w:bCs/>
      <w:kern w:val="2"/>
      <w:sz w:val="32"/>
      <w:szCs w:val="32"/>
    </w:rPr>
  </w:style>
  <w:style w:type="character" w:customStyle="1" w:styleId="113">
    <w:name w:val="fontorange1"/>
    <w:qFormat/>
    <w:uiPriority w:val="0"/>
    <w:rPr>
      <w:rFonts w:hint="default" w:ascii="ˎ̥" w:hAnsi="ˎ̥" w:eastAsia="宋体"/>
      <w:color w:val="FF6600"/>
      <w:kern w:val="2"/>
      <w:sz w:val="18"/>
      <w:szCs w:val="18"/>
      <w:lang w:val="en-US" w:eastAsia="zh-CN" w:bidi="ar-SA"/>
    </w:rPr>
  </w:style>
  <w:style w:type="character" w:customStyle="1" w:styleId="114">
    <w:name w:val="不明显强调1"/>
    <w:qFormat/>
    <w:uiPriority w:val="0"/>
    <w:rPr>
      <w:i/>
      <w:iCs/>
      <w:color w:val="243F60"/>
    </w:rPr>
  </w:style>
  <w:style w:type="character" w:customStyle="1" w:styleId="115">
    <w:name w:val="short_text"/>
    <w:qFormat/>
    <w:uiPriority w:val="0"/>
    <w:rPr>
      <w:rFonts w:eastAsia="宋体"/>
      <w:kern w:val="2"/>
      <w:sz w:val="24"/>
      <w:szCs w:val="24"/>
      <w:lang w:val="en-US" w:eastAsia="zh-CN" w:bidi="ar-SA"/>
    </w:rPr>
  </w:style>
  <w:style w:type="character" w:customStyle="1" w:styleId="116">
    <w:name w:val="Char Char9"/>
    <w:qFormat/>
    <w:uiPriority w:val="0"/>
    <w:rPr>
      <w:rFonts w:ascii="Calibri" w:hAnsi="Calibri" w:eastAsia="宋体" w:cs="Times New Roman"/>
      <w:kern w:val="2"/>
      <w:sz w:val="18"/>
      <w:szCs w:val="18"/>
      <w:lang w:val="en-US" w:eastAsia="zh-CN" w:bidi="ar-SA"/>
    </w:rPr>
  </w:style>
  <w:style w:type="character" w:customStyle="1" w:styleId="117">
    <w:name w:val="纯文本 Char1"/>
    <w:qFormat/>
    <w:uiPriority w:val="0"/>
    <w:rPr>
      <w:rFonts w:ascii="宋体" w:hAnsi="Courier New"/>
      <w:kern w:val="2"/>
      <w:sz w:val="21"/>
    </w:rPr>
  </w:style>
  <w:style w:type="character" w:customStyle="1" w:styleId="118">
    <w:name w:val="Char Char13"/>
    <w:qFormat/>
    <w:uiPriority w:val="0"/>
    <w:rPr>
      <w:rFonts w:ascii="Times New Roman" w:hAnsi="Times New Roman" w:eastAsia="宋体" w:cs="Times New Roman"/>
      <w:kern w:val="2"/>
      <w:sz w:val="18"/>
      <w:szCs w:val="18"/>
    </w:rPr>
  </w:style>
  <w:style w:type="character" w:customStyle="1" w:styleId="119">
    <w:name w:val="Char Char17"/>
    <w:qFormat/>
    <w:uiPriority w:val="0"/>
    <w:rPr>
      <w:rFonts w:ascii="Cambria" w:hAnsi="Cambria" w:eastAsia="宋体" w:cs="Times New Roman"/>
      <w:b/>
      <w:bCs/>
      <w:sz w:val="24"/>
      <w:szCs w:val="24"/>
    </w:rPr>
  </w:style>
  <w:style w:type="character" w:customStyle="1" w:styleId="120">
    <w:name w:val="正文小标题 Char Char"/>
    <w:qFormat/>
    <w:uiPriority w:val="0"/>
    <w:rPr>
      <w:rFonts w:ascii="仿宋_GB2312" w:hAnsi="Times New Roman" w:eastAsia="仿宋_GB2312" w:cs="Times New Roman"/>
      <w:kern w:val="2"/>
      <w:sz w:val="32"/>
      <w:szCs w:val="20"/>
    </w:rPr>
  </w:style>
  <w:style w:type="character" w:customStyle="1" w:styleId="121">
    <w:name w:val="Char Char171"/>
    <w:qFormat/>
    <w:uiPriority w:val="0"/>
    <w:rPr>
      <w:rFonts w:ascii="Calibri" w:hAnsi="Calibri" w:eastAsia="宋体" w:cs="Times New Roman"/>
      <w:b/>
      <w:bCs/>
      <w:kern w:val="2"/>
      <w:sz w:val="32"/>
      <w:szCs w:val="32"/>
      <w:lang w:val="en-US" w:eastAsia="zh-CN" w:bidi="ar-SA"/>
    </w:rPr>
  </w:style>
  <w:style w:type="character" w:customStyle="1" w:styleId="122">
    <w:name w:val="apple-style-span"/>
    <w:qFormat/>
    <w:uiPriority w:val="0"/>
  </w:style>
  <w:style w:type="character" w:customStyle="1" w:styleId="123">
    <w:name w:val="Char Char18"/>
    <w:qFormat/>
    <w:uiPriority w:val="0"/>
    <w:rPr>
      <w:rFonts w:ascii="Calibri" w:hAnsi="Calibri" w:eastAsia="宋体" w:cs="Times New Roman"/>
      <w:b/>
      <w:bCs/>
      <w:sz w:val="28"/>
      <w:szCs w:val="28"/>
    </w:rPr>
  </w:style>
  <w:style w:type="character" w:customStyle="1" w:styleId="124">
    <w:name w:val="textcontents"/>
    <w:qFormat/>
    <w:uiPriority w:val="0"/>
  </w:style>
  <w:style w:type="character" w:customStyle="1" w:styleId="125">
    <w:name w:val="ca-12"/>
    <w:qFormat/>
    <w:uiPriority w:val="0"/>
    <w:rPr>
      <w:rFonts w:eastAsia="宋体" w:cs="Times New Roman"/>
      <w:kern w:val="2"/>
      <w:sz w:val="24"/>
      <w:szCs w:val="24"/>
      <w:lang w:val="en-US" w:eastAsia="zh-CN" w:bidi="ar-SA"/>
    </w:rPr>
  </w:style>
  <w:style w:type="character" w:customStyle="1" w:styleId="126">
    <w:name w:val="Plain Text Char1"/>
    <w:qFormat/>
    <w:locked/>
    <w:uiPriority w:val="0"/>
    <w:rPr>
      <w:rFonts w:ascii="宋体;SimSun" w:hAnsi="宋体;SimSun" w:eastAsia="宋体;SimSun"/>
      <w:sz w:val="21"/>
      <w:lang w:val="en-US" w:eastAsia="zh-CN"/>
    </w:rPr>
  </w:style>
  <w:style w:type="paragraph" w:customStyle="1" w:styleId="127">
    <w:name w:val="办公自动化专用标题"/>
    <w:basedOn w:val="50"/>
    <w:qFormat/>
    <w:uiPriority w:val="0"/>
    <w:pPr>
      <w:spacing w:line="560" w:lineRule="atLeast"/>
    </w:pPr>
    <w:rPr>
      <w:rFonts w:ascii="宋体" w:hAnsi="Arial"/>
      <w:bCs w:val="0"/>
      <w:sz w:val="44"/>
      <w:szCs w:val="20"/>
    </w:rPr>
  </w:style>
  <w:style w:type="paragraph" w:customStyle="1" w:styleId="128">
    <w:name w:val="Char Char Char"/>
    <w:basedOn w:val="1"/>
    <w:qFormat/>
    <w:uiPriority w:val="0"/>
    <w:rPr>
      <w:rFonts w:ascii="Tahoma" w:hAnsi="Tahoma"/>
      <w:sz w:val="24"/>
      <w:szCs w:val="20"/>
    </w:rPr>
  </w:style>
  <w:style w:type="paragraph" w:customStyle="1" w:styleId="129">
    <w:name w:val="Copyright"/>
    <w:basedOn w:val="1"/>
    <w:qFormat/>
    <w:uiPriority w:val="0"/>
    <w:pPr>
      <w:spacing w:before="480" w:after="60"/>
      <w:jc w:val="center"/>
    </w:pPr>
    <w:rPr>
      <w:rFonts w:ascii="Trebuchet MS" w:hAnsi="Trebuchet MS" w:cs="Trebuchet MS"/>
      <w:b/>
      <w:color w:val="042D56"/>
      <w:kern w:val="0"/>
      <w:sz w:val="20"/>
      <w:lang w:val="en-AU" w:eastAsia="en-AU"/>
    </w:rPr>
  </w:style>
  <w:style w:type="paragraph" w:customStyle="1" w:styleId="130">
    <w:name w:val="默认段落字体 Para Char Char Char Char Char Char Char Char Char1 Char Char Char Char"/>
    <w:basedOn w:val="1"/>
    <w:qFormat/>
    <w:uiPriority w:val="0"/>
    <w:rPr>
      <w:rFonts w:ascii="Tahoma" w:hAnsi="Tahoma"/>
      <w:sz w:val="24"/>
      <w:szCs w:val="20"/>
    </w:rPr>
  </w:style>
  <w:style w:type="paragraph" w:customStyle="1" w:styleId="13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32">
    <w:name w:val="正文1111"/>
    <w:qFormat/>
    <w:uiPriority w:val="0"/>
    <w:pPr>
      <w:spacing w:before="60" w:after="60" w:line="360" w:lineRule="auto"/>
      <w:ind w:firstLine="480" w:firstLineChars="200"/>
      <w:jc w:val="both"/>
    </w:pPr>
    <w:rPr>
      <w:rFonts w:ascii="宋体" w:hAnsi="宋体" w:eastAsia="宋体" w:cs="Times New Roman"/>
      <w:sz w:val="24"/>
      <w:szCs w:val="24"/>
      <w:lang w:val="en-US" w:eastAsia="zh-CN" w:bidi="ar-SA"/>
    </w:rPr>
  </w:style>
  <w:style w:type="paragraph" w:customStyle="1" w:styleId="13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34">
    <w:name w:val="题注5"/>
    <w:basedOn w:val="1"/>
    <w:next w:val="16"/>
    <w:qFormat/>
    <w:uiPriority w:val="0"/>
    <w:pPr>
      <w:jc w:val="center"/>
    </w:pPr>
    <w:rPr>
      <w:b/>
      <w:color w:val="000000"/>
      <w:sz w:val="24"/>
      <w:szCs w:val="21"/>
    </w:rPr>
  </w:style>
  <w:style w:type="paragraph" w:customStyle="1" w:styleId="135">
    <w:name w:val="样式 首行缩进:  2 字符"/>
    <w:basedOn w:val="1"/>
    <w:qFormat/>
    <w:uiPriority w:val="0"/>
    <w:pPr>
      <w:spacing w:line="400" w:lineRule="exact"/>
      <w:ind w:firstLine="200" w:firstLineChars="200"/>
    </w:pPr>
    <w:rPr>
      <w:rFonts w:cs="宋体"/>
      <w:sz w:val="24"/>
    </w:rPr>
  </w:style>
  <w:style w:type="paragraph" w:customStyle="1" w:styleId="136">
    <w:name w:val="xl25"/>
    <w:basedOn w:val="1"/>
    <w:qFormat/>
    <w:uiPriority w:val="0"/>
    <w:pPr>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37">
    <w:name w:val="正文列表"/>
    <w:basedOn w:val="1"/>
    <w:qFormat/>
    <w:uiPriority w:val="0"/>
    <w:pPr>
      <w:autoSpaceDE w:val="0"/>
      <w:autoSpaceDN w:val="0"/>
      <w:adjustRightInd w:val="0"/>
      <w:jc w:val="center"/>
      <w:textAlignment w:val="baseline"/>
    </w:pPr>
    <w:rPr>
      <w:rFonts w:ascii="宋体" w:hAnsi="宋体"/>
      <w:kern w:val="0"/>
      <w:sz w:val="24"/>
      <w:szCs w:val="20"/>
    </w:rPr>
  </w:style>
  <w:style w:type="paragraph" w:customStyle="1" w:styleId="138">
    <w:name w:val="普通 (Web)"/>
    <w:basedOn w:val="1"/>
    <w:qFormat/>
    <w:uiPriority w:val="0"/>
    <w:pPr>
      <w:spacing w:before="100" w:beforeAutospacing="1" w:after="100" w:afterAutospacing="1"/>
    </w:pPr>
    <w:rPr>
      <w:rFonts w:ascii="宋体" w:hAnsi="宋体"/>
      <w:kern w:val="0"/>
      <w:sz w:val="24"/>
      <w:szCs w:val="20"/>
    </w:rPr>
  </w:style>
  <w:style w:type="paragraph" w:customStyle="1" w:styleId="139">
    <w:name w:val="List Paragraph1"/>
    <w:basedOn w:val="1"/>
    <w:qFormat/>
    <w:uiPriority w:val="0"/>
    <w:pPr>
      <w:spacing w:after="200" w:line="276" w:lineRule="auto"/>
      <w:ind w:left="720"/>
    </w:pPr>
    <w:rPr>
      <w:rFonts w:ascii="Calibri" w:hAnsi="Calibri"/>
      <w:kern w:val="0"/>
      <w:sz w:val="22"/>
      <w:szCs w:val="22"/>
    </w:rPr>
  </w:style>
  <w:style w:type="paragraph" w:customStyle="1" w:styleId="140">
    <w:name w:val="招标文件样式2"/>
    <w:basedOn w:val="1"/>
    <w:qFormat/>
    <w:uiPriority w:val="0"/>
    <w:pPr>
      <w:jc w:val="center"/>
      <w:outlineLvl w:val="0"/>
    </w:pPr>
    <w:rPr>
      <w:rFonts w:ascii="宋体" w:hAnsi="宋体"/>
      <w:b/>
      <w:sz w:val="28"/>
      <w:szCs w:val="28"/>
    </w:rPr>
  </w:style>
  <w:style w:type="paragraph" w:customStyle="1" w:styleId="141">
    <w:name w:val="Char"/>
    <w:basedOn w:val="17"/>
    <w:semiHidden/>
    <w:qFormat/>
    <w:uiPriority w:val="0"/>
    <w:rPr>
      <w:rFonts w:ascii="Tahoma" w:hAnsi="Tahoma" w:cs="Tahoma"/>
      <w:kern w:val="0"/>
      <w:sz w:val="18"/>
    </w:rPr>
  </w:style>
  <w:style w:type="paragraph" w:customStyle="1" w:styleId="142">
    <w:name w:val="_Style 137"/>
    <w:semiHidden/>
    <w:qFormat/>
    <w:uiPriority w:val="0"/>
    <w:pPr>
      <w:spacing w:line="320" w:lineRule="exact"/>
    </w:pPr>
    <w:rPr>
      <w:rFonts w:ascii="Times New Roman" w:hAnsi="Times New Roman" w:eastAsia="宋体" w:cs="Times New Roman"/>
      <w:kern w:val="2"/>
      <w:sz w:val="21"/>
      <w:szCs w:val="24"/>
      <w:lang w:val="en-US" w:eastAsia="zh-CN" w:bidi="ar-SA"/>
    </w:rPr>
  </w:style>
  <w:style w:type="paragraph" w:customStyle="1" w:styleId="143">
    <w:name w:val="正文首行缩进两字符"/>
    <w:basedOn w:val="1"/>
    <w:qFormat/>
    <w:uiPriority w:val="0"/>
    <w:pPr>
      <w:spacing w:line="360" w:lineRule="auto"/>
      <w:ind w:firstLine="200" w:firstLineChars="200"/>
    </w:pPr>
  </w:style>
  <w:style w:type="paragraph" w:customStyle="1" w:styleId="144">
    <w:name w:val="Char Char"/>
    <w:basedOn w:val="1"/>
    <w:qFormat/>
    <w:uiPriority w:val="0"/>
    <w:pPr>
      <w:spacing w:after="160" w:line="240" w:lineRule="exact"/>
    </w:pPr>
    <w:rPr>
      <w:rFonts w:ascii="Verdana" w:hAnsi="Verdana" w:eastAsia="仿宋_GB2312"/>
      <w:kern w:val="0"/>
      <w:sz w:val="24"/>
      <w:szCs w:val="20"/>
      <w:lang w:eastAsia="en-US"/>
    </w:rPr>
  </w:style>
  <w:style w:type="paragraph" w:customStyle="1" w:styleId="145">
    <w:name w:val="Char1"/>
    <w:basedOn w:val="1"/>
    <w:qFormat/>
    <w:uiPriority w:val="0"/>
    <w:rPr>
      <w:szCs w:val="21"/>
    </w:rPr>
  </w:style>
  <w:style w:type="paragraph" w:customStyle="1" w:styleId="146">
    <w:name w:val="xl22"/>
    <w:basedOn w:val="1"/>
    <w:qFormat/>
    <w:uiPriority w:val="0"/>
    <w:pPr>
      <w:spacing w:before="100" w:beforeAutospacing="1" w:after="100" w:afterAutospacing="1"/>
    </w:pPr>
    <w:rPr>
      <w:rFonts w:ascii="Arial Unicode MS" w:hAnsi="Arial Unicode MS" w:eastAsia="Arial Unicode MS" w:cs="Arial Unicode MS"/>
      <w:kern w:val="0"/>
      <w:sz w:val="20"/>
      <w:szCs w:val="20"/>
    </w:rPr>
  </w:style>
  <w:style w:type="paragraph" w:customStyle="1" w:styleId="147">
    <w:name w:val="xl27"/>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customStyle="1" w:styleId="148">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9">
    <w:name w:val="Char Char Char Char"/>
    <w:basedOn w:val="1"/>
    <w:qFormat/>
    <w:uiPriority w:val="0"/>
    <w:pPr>
      <w:tabs>
        <w:tab w:val="left" w:pos="780"/>
      </w:tabs>
      <w:ind w:left="780" w:hanging="360"/>
    </w:pPr>
    <w:rPr>
      <w:sz w:val="24"/>
    </w:rPr>
  </w:style>
  <w:style w:type="paragraph" w:customStyle="1" w:styleId="150">
    <w:name w:val="题注4"/>
    <w:basedOn w:val="1"/>
    <w:next w:val="16"/>
    <w:qFormat/>
    <w:uiPriority w:val="0"/>
    <w:pPr>
      <w:ind w:left="-132" w:leftChars="-64" w:right="-105" w:rightChars="-50" w:hanging="2"/>
      <w:jc w:val="center"/>
    </w:pPr>
    <w:rPr>
      <w:b/>
      <w:color w:val="FF0000"/>
      <w:szCs w:val="21"/>
      <w:lang w:val="en-GB"/>
    </w:rPr>
  </w:style>
  <w:style w:type="paragraph" w:customStyle="1" w:styleId="151">
    <w:name w:val="Char Char2 Char"/>
    <w:basedOn w:val="1"/>
    <w:qFormat/>
    <w:uiPriority w:val="0"/>
    <w:rPr>
      <w:rFonts w:ascii="宋体" w:hAnsi="宋体"/>
      <w:b/>
      <w:sz w:val="28"/>
      <w:szCs w:val="28"/>
    </w:rPr>
  </w:style>
  <w:style w:type="paragraph" w:customStyle="1" w:styleId="152">
    <w:name w:val="列出段落1"/>
    <w:basedOn w:val="1"/>
    <w:qFormat/>
    <w:uiPriority w:val="0"/>
    <w:pPr>
      <w:widowControl w:val="0"/>
      <w:adjustRightInd w:val="0"/>
      <w:snapToGrid w:val="0"/>
      <w:spacing w:line="360" w:lineRule="auto"/>
      <w:jc w:val="both"/>
    </w:pPr>
    <w:rPr>
      <w:rFonts w:ascii="Calibri" w:hAnsi="Calibri"/>
      <w:sz w:val="24"/>
    </w:rPr>
  </w:style>
  <w:style w:type="paragraph" w:customStyle="1" w:styleId="153">
    <w:name w:val="样式"/>
    <w:qFormat/>
    <w:uiPriority w:val="0"/>
    <w:pPr>
      <w:widowControl w:val="0"/>
      <w:autoSpaceDE w:val="0"/>
      <w:autoSpaceDN w:val="0"/>
      <w:adjustRightInd w:val="0"/>
      <w:spacing w:line="320" w:lineRule="exact"/>
    </w:pPr>
    <w:rPr>
      <w:rFonts w:ascii="宋体" w:hAnsi="宋体" w:eastAsia="宋体" w:cs="宋体"/>
      <w:sz w:val="24"/>
      <w:szCs w:val="24"/>
      <w:lang w:val="en-US" w:eastAsia="zh-CN" w:bidi="ar-SA"/>
    </w:rPr>
  </w:style>
  <w:style w:type="paragraph" w:customStyle="1" w:styleId="154">
    <w:name w:val="Zchn Zchn"/>
    <w:basedOn w:val="1"/>
    <w:qFormat/>
    <w:uiPriority w:val="0"/>
    <w:rPr>
      <w:rFonts w:ascii="Tahoma" w:hAnsi="Tahoma"/>
      <w:sz w:val="24"/>
      <w:szCs w:val="20"/>
    </w:rPr>
  </w:style>
  <w:style w:type="paragraph" w:styleId="155">
    <w:name w:val="List Paragraph"/>
    <w:basedOn w:val="1"/>
    <w:qFormat/>
    <w:uiPriority w:val="0"/>
    <w:pPr>
      <w:ind w:firstLine="420" w:firstLineChars="200"/>
    </w:pPr>
  </w:style>
  <w:style w:type="paragraph" w:customStyle="1" w:styleId="156">
    <w:name w:val="Char Char Char Char Char Char Char"/>
    <w:basedOn w:val="1"/>
    <w:qFormat/>
    <w:uiPriority w:val="0"/>
    <w:pPr>
      <w:tabs>
        <w:tab w:val="left" w:pos="425"/>
      </w:tabs>
      <w:ind w:left="425" w:hanging="425"/>
    </w:pPr>
    <w:rPr>
      <w:rFonts w:eastAsia="仿宋_GB2312"/>
      <w:kern w:val="24"/>
      <w:sz w:val="24"/>
    </w:rPr>
  </w:style>
  <w:style w:type="paragraph" w:customStyle="1" w:styleId="157">
    <w:name w:val="Char Char2 Char Char Char Char Char"/>
    <w:basedOn w:val="1"/>
    <w:qFormat/>
    <w:uiPriority w:val="0"/>
    <w:pPr>
      <w:numPr>
        <w:ilvl w:val="0"/>
        <w:numId w:val="5"/>
      </w:numPr>
    </w:pPr>
    <w:rPr>
      <w:sz w:val="24"/>
    </w:rPr>
  </w:style>
  <w:style w:type="paragraph" w:customStyle="1" w:styleId="158">
    <w:name w:val="默认段落字体 Para Char"/>
    <w:basedOn w:val="1"/>
    <w:qFormat/>
    <w:uiPriority w:val="0"/>
    <w:rPr>
      <w:rFonts w:ascii="宋体" w:hAnsi="宋体"/>
      <w:b/>
      <w:sz w:val="28"/>
      <w:szCs w:val="28"/>
    </w:rPr>
  </w:style>
  <w:style w:type="paragraph" w:customStyle="1" w:styleId="15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60">
    <w:name w:val="Char2"/>
    <w:basedOn w:val="1"/>
    <w:qFormat/>
    <w:uiPriority w:val="0"/>
    <w:pPr>
      <w:spacing w:after="160" w:line="240" w:lineRule="exact"/>
    </w:pPr>
    <w:rPr>
      <w:rFonts w:ascii="Verdana" w:hAnsi="Verdana"/>
      <w:kern w:val="0"/>
      <w:szCs w:val="20"/>
      <w:lang w:eastAsia="en-US"/>
    </w:rPr>
  </w:style>
  <w:style w:type="paragraph" w:customStyle="1" w:styleId="161">
    <w:name w:val="Char Char Char Char Char Char"/>
    <w:basedOn w:val="1"/>
    <w:qFormat/>
    <w:uiPriority w:val="0"/>
    <w:pPr>
      <w:spacing w:before="100" w:beforeAutospacing="1" w:after="100" w:afterAutospacing="1" w:line="330" w:lineRule="atLeast"/>
      <w:ind w:left="360"/>
    </w:pPr>
    <w:rPr>
      <w:rFonts w:ascii="ˎ̥" w:hAnsi="ˎ̥" w:cs="宋体"/>
      <w:color w:val="51585D"/>
      <w:kern w:val="0"/>
      <w:sz w:val="20"/>
      <w:szCs w:val="18"/>
    </w:rPr>
  </w:style>
  <w:style w:type="paragraph" w:customStyle="1" w:styleId="162">
    <w:name w:val="正文段"/>
    <w:basedOn w:val="1"/>
    <w:qFormat/>
    <w:uiPriority w:val="0"/>
    <w:pPr>
      <w:snapToGrid w:val="0"/>
      <w:spacing w:after="50" w:afterLines="50"/>
      <w:ind w:firstLine="200" w:firstLineChars="200"/>
    </w:pPr>
    <w:rPr>
      <w:kern w:val="0"/>
      <w:sz w:val="24"/>
      <w:szCs w:val="20"/>
    </w:rPr>
  </w:style>
  <w:style w:type="paragraph" w:customStyle="1" w:styleId="163">
    <w:name w:val="_Style 159"/>
    <w:basedOn w:val="2"/>
    <w:next w:val="1"/>
    <w:qFormat/>
    <w:uiPriority w:val="0"/>
    <w:pPr>
      <w:numPr>
        <w:ilvl w:val="0"/>
        <w:numId w:val="6"/>
      </w:numPr>
      <w:spacing w:before="480" w:after="0" w:line="276" w:lineRule="auto"/>
      <w:outlineLvl w:val="9"/>
    </w:pPr>
    <w:rPr>
      <w:rFonts w:ascii="Cambria" w:hAnsi="Cambria"/>
      <w:color w:val="365F91"/>
      <w:kern w:val="0"/>
      <w:sz w:val="28"/>
      <w:szCs w:val="28"/>
    </w:rPr>
  </w:style>
  <w:style w:type="character" w:customStyle="1" w:styleId="164">
    <w:name w:val="正文文本缩进 Char1"/>
    <w:semiHidden/>
    <w:qFormat/>
    <w:locked/>
    <w:uiPriority w:val="0"/>
    <w:rPr>
      <w:rFonts w:ascii="仿宋_GB2312" w:eastAsia="仿宋_GB2312"/>
      <w:sz w:val="32"/>
    </w:rPr>
  </w:style>
  <w:style w:type="paragraph" w:customStyle="1" w:styleId="165">
    <w:name w:val="p0"/>
    <w:basedOn w:val="1"/>
    <w:qFormat/>
    <w:uiPriority w:val="0"/>
    <w:rPr>
      <w:kern w:val="0"/>
      <w:szCs w:val="21"/>
    </w:rPr>
  </w:style>
  <w:style w:type="paragraph" w:customStyle="1" w:styleId="166">
    <w:name w:val="a"/>
    <w:basedOn w:val="1"/>
    <w:qFormat/>
    <w:uiPriority w:val="0"/>
    <w:pPr>
      <w:spacing w:before="100" w:beforeAutospacing="1" w:after="100" w:afterAutospacing="1"/>
    </w:pPr>
    <w:rPr>
      <w:rFonts w:ascii="宋体" w:hAnsi="宋体" w:cs="宋体"/>
      <w:kern w:val="0"/>
      <w:sz w:val="24"/>
    </w:rPr>
  </w:style>
  <w:style w:type="character" w:customStyle="1" w:styleId="167">
    <w:name w:val="font01"/>
    <w:qFormat/>
    <w:uiPriority w:val="0"/>
    <w:rPr>
      <w:rFonts w:hint="eastAsia" w:ascii="宋体" w:hAnsi="宋体" w:eastAsia="宋体" w:cs="宋体"/>
      <w:color w:val="000000"/>
      <w:sz w:val="24"/>
      <w:szCs w:val="24"/>
      <w:u w:val="none"/>
    </w:rPr>
  </w:style>
  <w:style w:type="paragraph" w:customStyle="1" w:styleId="168">
    <w:name w:val="DAS正文"/>
    <w:basedOn w:val="1"/>
    <w:qFormat/>
    <w:uiPriority w:val="0"/>
    <w:pPr>
      <w:spacing w:line="360" w:lineRule="auto"/>
      <w:ind w:right="181" w:rightChars="86"/>
    </w:pPr>
    <w:rPr>
      <w:rFonts w:ascii="Verdana" w:hAnsi="Verdana" w:eastAsia="宋体;SimSun"/>
      <w:szCs w:val="21"/>
    </w:rPr>
  </w:style>
  <w:style w:type="character" w:customStyle="1" w:styleId="169">
    <w:name w:val="NormalCharacter"/>
    <w:qFormat/>
    <w:uiPriority w:val="0"/>
  </w:style>
  <w:style w:type="paragraph" w:customStyle="1" w:styleId="170">
    <w:name w:val="BodyText"/>
    <w:basedOn w:val="1"/>
    <w:qFormat/>
    <w:uiPriority w:val="0"/>
    <w:pPr>
      <w:spacing w:line="312" w:lineRule="atLeast"/>
      <w:jc w:val="center"/>
    </w:pPr>
    <w:rPr>
      <w:rFonts w:ascii="楷体_GB2312" w:eastAsia="楷体_GB2312"/>
      <w:kern w:val="0"/>
      <w:sz w:val="48"/>
      <w:szCs w:val="20"/>
    </w:rPr>
  </w:style>
  <w:style w:type="paragraph" w:customStyle="1" w:styleId="171">
    <w:name w:val="PlainText"/>
    <w:basedOn w:val="1"/>
    <w:qFormat/>
    <w:uiPriority w:val="0"/>
    <w:rPr>
      <w:rFonts w:ascii="宋体" w:hAnsi="Courier New"/>
      <w:szCs w:val="21"/>
    </w:rPr>
  </w:style>
  <w:style w:type="character" w:customStyle="1" w:styleId="172">
    <w:name w:val="bookmark-item uuid-1596277470067 code-23002 editdisable multi-line-text-input-box-cls readonly"/>
    <w:qFormat/>
    <w:uiPriority w:val="0"/>
    <w:rPr>
      <w:rFonts w:ascii="Times New Roman" w:hAnsi="Times New Roman" w:eastAsia="宋体" w:cs="Times New Roman"/>
    </w:rPr>
  </w:style>
  <w:style w:type="character" w:customStyle="1" w:styleId="173">
    <w:name w:val="font71"/>
    <w:basedOn w:val="56"/>
    <w:qFormat/>
    <w:uiPriority w:val="0"/>
    <w:rPr>
      <w:rFonts w:ascii="仿宋" w:hAnsi="仿宋" w:eastAsia="仿宋" w:cs="仿宋"/>
      <w:b/>
      <w:bCs/>
      <w:color w:val="000000"/>
      <w:sz w:val="24"/>
      <w:szCs w:val="24"/>
      <w:u w:val="none"/>
    </w:rPr>
  </w:style>
  <w:style w:type="character" w:customStyle="1" w:styleId="174">
    <w:name w:val="bookmark-item uuid-1589194982864 code-31006 addword multi-line-text-input-box-cls"/>
    <w:qFormat/>
    <w:uiPriority w:val="0"/>
    <w:rPr>
      <w:rFonts w:ascii="Times New Roman" w:hAnsi="Times New Roman" w:eastAsia="宋体" w:cs="Times New Roman"/>
    </w:rPr>
  </w:style>
  <w:style w:type="paragraph" w:customStyle="1" w:styleId="175">
    <w:name w:val="正文-公1"/>
    <w:basedOn w:val="1"/>
    <w:qFormat/>
    <w:uiPriority w:val="0"/>
    <w:pPr>
      <w:ind w:firstLine="200" w:firstLineChars="200"/>
    </w:pPr>
    <w:rPr>
      <w:color w:val="000000"/>
    </w:rPr>
  </w:style>
  <w:style w:type="paragraph" w:customStyle="1" w:styleId="17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21241</Words>
  <Characters>22524</Characters>
  <Lines>210</Lines>
  <Paragraphs>59</Paragraphs>
  <TotalTime>19</TotalTime>
  <ScaleCrop>false</ScaleCrop>
  <LinksUpToDate>false</LinksUpToDate>
  <CharactersWithSpaces>24934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2021-10-27T08:48:00Z</dcterms:created>
  <dc:creator>唐冰</dc:creator>
  <cp:lastModifiedBy>j</cp:lastModifiedBy>
  <cp:lastPrinted>2024-11-11T07:03:00Z</cp:lastPrinted>
  <dcterms:modified xsi:type="dcterms:W3CDTF">2025-11-21T10:05:23Z</dcterms:modified>
  <dc:title>竞争性谈判文件规范</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FD7ADA19194F42A4A20095D46E6EA512</vt:lpwstr>
  </property>
  <property fmtid="{D5CDD505-2E9C-101B-9397-08002B2CF9AE}" pid="4" name="KSOTemplateDocerSaveRecord">
    <vt:lpwstr>eyJoZGlkIjoiMDY4MDVlYTNjYjkwZjVhZGZiNGM0MmE1ZWU4ZTg5OTAiLCJ1c2VySWQiOiI1MTA2MDEwNDcifQ==</vt:lpwstr>
  </property>
</Properties>
</file>